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0539B" w:rsidR="0090539B" w:rsidP="0090539B" w:rsidRDefault="0090539B" w14:paraId="3A703293" w14:textId="328ACB58">
      <w:pPr>
        <w:pStyle w:val="Heading1"/>
        <w:rPr>
          <w:sz w:val="60"/>
          <w:szCs w:val="60"/>
        </w:rPr>
      </w:pPr>
      <w:r w:rsidRPr="1621A1CB" w:rsidR="0090539B">
        <w:rPr>
          <w:sz w:val="60"/>
          <w:szCs w:val="60"/>
        </w:rPr>
        <w:t xml:space="preserve">A guide to the </w:t>
      </w:r>
      <w:r w:rsidRPr="1621A1CB" w:rsidR="008458DA">
        <w:rPr>
          <w:sz w:val="60"/>
          <w:szCs w:val="60"/>
        </w:rPr>
        <w:t>Age</w:t>
      </w:r>
      <w:r w:rsidRPr="1621A1CB" w:rsidR="0090539B">
        <w:rPr>
          <w:sz w:val="60"/>
          <w:szCs w:val="60"/>
        </w:rPr>
        <w:t xml:space="preserve"> Pension (Blind)</w:t>
      </w:r>
    </w:p>
    <w:p w:rsidR="007028D5" w:rsidP="21E9DB89" w:rsidRDefault="007028D5" w14:paraId="6ECFB37E" w14:noSpellErr="1" w14:textId="2139B4E5">
      <w:pPr>
        <w:pStyle w:val="Normal"/>
        <w:rPr>
          <w:lang w:val="en-US"/>
        </w:rPr>
      </w:pPr>
    </w:p>
    <w:p w:rsidR="0090539B" w:rsidP="0090539B" w:rsidRDefault="0090539B" w14:paraId="6D4ECAD3" w14:textId="77777777">
      <w:pPr>
        <w:rPr>
          <w:lang w:val="en-US"/>
        </w:rPr>
      </w:pPr>
    </w:p>
    <w:p w:rsidR="0090539B" w:rsidP="0090539B" w:rsidRDefault="0090539B" w14:paraId="4AA827D4" w14:textId="377A03DB">
      <w:pPr>
        <w:rPr>
          <w:lang w:val="en-US"/>
        </w:rPr>
      </w:pPr>
    </w:p>
    <w:p w:rsidRPr="005B5BA2" w:rsidR="00AA2997" w:rsidP="1621A1CB" w:rsidRDefault="00AA2997" w14:paraId="02F07749" w14:textId="0AFEDBEF">
      <w:pPr>
        <w:rPr>
          <w:sz w:val="32"/>
          <w:szCs w:val="32"/>
        </w:rPr>
      </w:pPr>
      <w:r w:rsidRPr="1621A1CB" w:rsidR="0090539B">
        <w:rPr>
          <w:lang w:val="en-US"/>
        </w:rPr>
        <w:t>IMAGE</w:t>
      </w:r>
    </w:p>
    <w:p w:rsidRPr="005B5BA2" w:rsidR="00AA2997" w:rsidP="1621A1CB" w:rsidRDefault="00AA2997" w14:paraId="2E94404D" w14:textId="5F5561C5">
      <w:pPr/>
      <w:r>
        <w:br w:type="page"/>
      </w:r>
    </w:p>
    <w:p w:rsidRPr="005B5BA2" w:rsidR="00AA2997" w:rsidP="1621A1CB" w:rsidRDefault="00AA2997" w14:paraId="7F07718F" w14:textId="7F4CB98B">
      <w:pPr>
        <w:pStyle w:val="Heading2"/>
        <w:rPr>
          <w:sz w:val="32"/>
          <w:szCs w:val="32"/>
        </w:rPr>
      </w:pPr>
      <w:bookmarkStart w:name="_Toc449084337" w:id="1"/>
      <w:r w:rsidR="00AA2997">
        <w:rPr/>
        <w:t>About this guide</w:t>
      </w:r>
    </w:p>
    <w:p w:rsidR="00AA2997" w:rsidP="00AA2997" w:rsidRDefault="00AA2997" w14:paraId="5B9C8078" w14:textId="4CF82DD1">
      <w:pPr>
        <w:rPr>
          <w:rFonts w:eastAsia="Times New Roman"/>
          <w:bCs/>
          <w:szCs w:val="24"/>
        </w:rPr>
      </w:pPr>
      <w:r w:rsidRPr="00AA2997">
        <w:rPr>
          <w:rFonts w:eastAsia="Times New Roman"/>
          <w:bCs/>
          <w:szCs w:val="24"/>
        </w:rPr>
        <w:t xml:space="preserve">This guide helps you understand the Age Pension (Blind) and </w:t>
      </w:r>
      <w:r w:rsidR="000B1D9B">
        <w:rPr>
          <w:rFonts w:eastAsia="Times New Roman"/>
          <w:bCs/>
          <w:szCs w:val="24"/>
        </w:rPr>
        <w:t>will outline</w:t>
      </w:r>
      <w:r w:rsidRPr="00AA2997">
        <w:rPr>
          <w:rFonts w:eastAsia="Times New Roman"/>
          <w:bCs/>
          <w:szCs w:val="24"/>
        </w:rPr>
        <w:t xml:space="preserve">: </w:t>
      </w:r>
    </w:p>
    <w:p w:rsidRPr="00AA2997" w:rsidR="00380310" w:rsidP="00AA2997" w:rsidRDefault="00380310" w14:paraId="2421C30D" w14:textId="77777777">
      <w:pPr>
        <w:rPr>
          <w:rFonts w:eastAsia="Times New Roman"/>
          <w:bCs/>
          <w:szCs w:val="24"/>
        </w:rPr>
      </w:pPr>
    </w:p>
    <w:p w:rsidRPr="00AA2997" w:rsidR="00AA2997" w:rsidP="00AA2997" w:rsidRDefault="00B2245C" w14:paraId="1DF96FCF" w14:textId="36C8646E">
      <w:pPr>
        <w:numPr>
          <w:ilvl w:val="0"/>
          <w:numId w:val="2"/>
        </w:numPr>
        <w:rPr>
          <w:rFonts w:eastAsia="Times New Roman"/>
          <w:bCs/>
          <w:szCs w:val="24"/>
        </w:rPr>
      </w:pPr>
      <w:r>
        <w:rPr>
          <w:rFonts w:eastAsia="Times New Roman"/>
          <w:bCs/>
          <w:szCs w:val="24"/>
        </w:rPr>
        <w:t>Y</w:t>
      </w:r>
      <w:r w:rsidRPr="00AA2997" w:rsidR="00AA2997">
        <w:rPr>
          <w:rFonts w:eastAsia="Times New Roman"/>
          <w:bCs/>
          <w:szCs w:val="24"/>
        </w:rPr>
        <w:t>our responsibilities</w:t>
      </w:r>
      <w:r>
        <w:rPr>
          <w:rFonts w:eastAsia="Times New Roman"/>
          <w:bCs/>
          <w:szCs w:val="24"/>
        </w:rPr>
        <w:t>,</w:t>
      </w:r>
    </w:p>
    <w:p w:rsidRPr="00AA2997" w:rsidR="00AA2997" w:rsidP="00AA2997" w:rsidRDefault="00B2245C" w14:paraId="0543277A" w14:textId="40C1B08B">
      <w:pPr>
        <w:numPr>
          <w:ilvl w:val="0"/>
          <w:numId w:val="2"/>
        </w:numPr>
        <w:rPr>
          <w:rFonts w:eastAsia="Times New Roman"/>
          <w:bCs/>
          <w:szCs w:val="24"/>
        </w:rPr>
      </w:pPr>
      <w:r>
        <w:rPr>
          <w:rFonts w:eastAsia="Times New Roman"/>
          <w:bCs/>
          <w:szCs w:val="24"/>
        </w:rPr>
        <w:t>W</w:t>
      </w:r>
      <w:r w:rsidRPr="00AA2997" w:rsidR="00AA2997">
        <w:rPr>
          <w:rFonts w:eastAsia="Times New Roman"/>
          <w:bCs/>
          <w:szCs w:val="24"/>
        </w:rPr>
        <w:t>hat you are required to do to obtain the Age Pension (Blind)</w:t>
      </w:r>
      <w:r>
        <w:rPr>
          <w:rFonts w:eastAsia="Times New Roman"/>
          <w:bCs/>
          <w:szCs w:val="24"/>
        </w:rPr>
        <w:t>,</w:t>
      </w:r>
    </w:p>
    <w:p w:rsidRPr="00AA2997" w:rsidR="00AA2997" w:rsidP="00AA2997" w:rsidRDefault="00B2245C" w14:paraId="7C4E2D89" w14:textId="75EDB79E">
      <w:pPr>
        <w:numPr>
          <w:ilvl w:val="0"/>
          <w:numId w:val="2"/>
        </w:numPr>
        <w:rPr>
          <w:rFonts w:eastAsia="Times New Roman"/>
          <w:bCs/>
          <w:szCs w:val="24"/>
        </w:rPr>
      </w:pPr>
      <w:r>
        <w:rPr>
          <w:rFonts w:eastAsia="Times New Roman"/>
          <w:bCs/>
          <w:szCs w:val="24"/>
        </w:rPr>
        <w:t>W</w:t>
      </w:r>
      <w:r w:rsidRPr="00AA2997" w:rsidR="00AA2997">
        <w:rPr>
          <w:rFonts w:eastAsia="Times New Roman"/>
          <w:bCs/>
          <w:szCs w:val="24"/>
        </w:rPr>
        <w:t>hat evidence to provide during your application or review, and</w:t>
      </w:r>
    </w:p>
    <w:p w:rsidRPr="00AA2997" w:rsidR="00AA2997" w:rsidP="006B59BD" w:rsidRDefault="00B2245C" w14:paraId="5E35E624" w14:textId="0A714749">
      <w:pPr>
        <w:pStyle w:val="ListParagraph"/>
        <w:numPr>
          <w:ilvl w:val="0"/>
          <w:numId w:val="2"/>
        </w:numPr>
      </w:pPr>
      <w:r>
        <w:t>H</w:t>
      </w:r>
      <w:r w:rsidRPr="00AA2997" w:rsidR="00AA2997">
        <w:t>ow to address obstacles in the application process.</w:t>
      </w:r>
    </w:p>
    <w:p w:rsidR="005B5BA2" w:rsidP="006B59BD" w:rsidRDefault="005B5BA2" w14:paraId="19F911F6" w14:textId="77777777">
      <w:pPr>
        <w:rPr>
          <w:lang w:val="en-US"/>
        </w:rPr>
      </w:pPr>
    </w:p>
    <w:p w:rsidR="00B601DC" w:rsidP="006B59BD" w:rsidRDefault="00171E48" w14:paraId="4950270A" w14:textId="5D1E6319">
      <w:r w:rsidRPr="00171E48">
        <w:t xml:space="preserve">By </w:t>
      </w:r>
      <w:r>
        <w:t>reviewing</w:t>
      </w:r>
      <w:r w:rsidRPr="00171E48">
        <w:t xml:space="preserve"> the information provided, you’ll have a clearer understanding of what to expect and how to make the process </w:t>
      </w:r>
      <w:r w:rsidR="00C1786F">
        <w:t xml:space="preserve">of obtaining the pension </w:t>
      </w:r>
      <w:r w:rsidRPr="00171E48">
        <w:t>as smooth as possible.</w:t>
      </w:r>
    </w:p>
    <w:p w:rsidR="00B601DC" w:rsidP="006B59BD" w:rsidRDefault="00B601DC" w14:paraId="644AFE63" w14:textId="77777777"/>
    <w:p w:rsidR="00B601DC" w:rsidP="006B59BD" w:rsidRDefault="00B601DC" w14:paraId="33C03647" w14:textId="77777777"/>
    <w:p w:rsidR="00B601DC" w:rsidP="006B59BD" w:rsidRDefault="00B601DC" w14:paraId="41CD757E" w14:textId="77777777"/>
    <w:p w:rsidR="00B601DC" w:rsidP="006B59BD" w:rsidRDefault="00B601DC" w14:paraId="4DC93F9B" w14:textId="77777777" w14:noSpellErr="1"/>
    <w:p w:rsidR="1621A1CB" w:rsidRDefault="1621A1CB" w14:paraId="2549D755" w14:textId="40073918"/>
    <w:p w:rsidR="1621A1CB" w:rsidRDefault="1621A1CB" w14:paraId="3F3D0073" w14:textId="79C45181"/>
    <w:p w:rsidR="1621A1CB" w:rsidRDefault="1621A1CB" w14:paraId="24857E04" w14:textId="3997796A"/>
    <w:p w:rsidR="1621A1CB" w:rsidRDefault="1621A1CB" w14:paraId="75D430A8" w14:textId="18C781EF"/>
    <w:p w:rsidR="1621A1CB" w:rsidRDefault="1621A1CB" w14:paraId="1617C5C4" w14:textId="0D82DDD6"/>
    <w:p w:rsidR="1621A1CB" w:rsidRDefault="1621A1CB" w14:paraId="52833C00" w14:textId="0CAA3B88"/>
    <w:p w:rsidR="1621A1CB" w:rsidRDefault="1621A1CB" w14:paraId="7D123E08" w14:textId="6DECDAAE"/>
    <w:p w:rsidR="1621A1CB" w:rsidRDefault="1621A1CB" w14:paraId="1E5DC248" w14:textId="2389620C"/>
    <w:p w:rsidR="1621A1CB" w:rsidRDefault="1621A1CB" w14:paraId="19168D5A" w14:textId="01B3442A"/>
    <w:p w:rsidR="1621A1CB" w:rsidRDefault="1621A1CB" w14:paraId="32592921" w14:textId="5CF4F385"/>
    <w:p w:rsidR="1621A1CB" w:rsidRDefault="1621A1CB" w14:paraId="28FD0B91" w14:textId="7F22C05A"/>
    <w:p w:rsidR="1621A1CB" w:rsidRDefault="1621A1CB" w14:paraId="1BB3218F" w14:textId="0B38DADF"/>
    <w:p w:rsidR="1621A1CB" w:rsidRDefault="1621A1CB" w14:paraId="14C2C203" w14:textId="1AE176FE"/>
    <w:p w:rsidR="1621A1CB" w:rsidRDefault="1621A1CB" w14:paraId="265B2C60" w14:textId="1402F46D"/>
    <w:p w:rsidR="1621A1CB" w:rsidRDefault="1621A1CB" w14:paraId="654020BA" w14:textId="1E492E30"/>
    <w:p w:rsidR="1621A1CB" w:rsidRDefault="1621A1CB" w14:paraId="58A9A2BD" w14:textId="4A5A268C"/>
    <w:p w:rsidR="1621A1CB" w:rsidRDefault="1621A1CB" w14:paraId="74F8A08C" w14:textId="234FB00A"/>
    <w:p w:rsidR="1621A1CB" w:rsidRDefault="1621A1CB" w14:paraId="61B4F101" w14:textId="1B0C0CC7"/>
    <w:p w:rsidR="1621A1CB" w:rsidRDefault="1621A1CB" w14:paraId="59BCF1FF" w14:textId="0316E623"/>
    <w:p w:rsidR="1621A1CB" w:rsidP="1621A1CB" w:rsidRDefault="1621A1CB" w14:paraId="742EE464" w14:textId="35C0FA80">
      <w:pPr>
        <w:pStyle w:val="Normal"/>
      </w:pPr>
    </w:p>
    <w:p w:rsidRPr="005B5BA2" w:rsidR="00AA2997" w:rsidP="005B5BA2" w:rsidRDefault="00AA2997" w14:paraId="54CAD934" w14:textId="746B1E90">
      <w:pPr>
        <w:pStyle w:val="Heading2"/>
        <w:rPr>
          <w:sz w:val="32"/>
          <w:szCs w:val="32"/>
        </w:rPr>
      </w:pPr>
      <w:r w:rsidRPr="33C8EAE4" w:rsidR="00AA2997">
        <w:rPr>
          <w:sz w:val="32"/>
          <w:szCs w:val="32"/>
        </w:rPr>
        <w:t>Disclaimer</w:t>
      </w:r>
    </w:p>
    <w:p w:rsidRPr="00AA2997" w:rsidR="00AA2997" w:rsidP="00AA2997" w:rsidRDefault="00AA2997" w14:paraId="04FB8FD6" w14:textId="68027BEC">
      <w:pPr>
        <w:rPr>
          <w:rFonts w:eastAsia="Times New Roman"/>
          <w:bCs/>
          <w:szCs w:val="24"/>
        </w:rPr>
      </w:pPr>
      <w:r w:rsidRPr="00AA2997">
        <w:rPr>
          <w:rFonts w:eastAsia="Times New Roman"/>
          <w:bCs/>
          <w:szCs w:val="24"/>
        </w:rPr>
        <w:t>Every effort has been made to ensure the information in this guide is accurate at the time of release. However, it is not an official Centrelink document and does not provide information which will always be applicable to individual circumstances. For information related to your individual circumstances, you will need to call Centrelink on 132 717.</w:t>
      </w:r>
    </w:p>
    <w:p w:rsidRPr="00AA2997" w:rsidR="00AA2997" w:rsidP="00AA2997" w:rsidRDefault="00AA2997" w14:paraId="41C9C674" w14:textId="77777777">
      <w:pPr>
        <w:rPr>
          <w:rFonts w:eastAsia="Times New Roman"/>
          <w:bCs/>
          <w:szCs w:val="24"/>
        </w:rPr>
      </w:pPr>
    </w:p>
    <w:p w:rsidR="00DD59DE" w:rsidP="00AA2997" w:rsidRDefault="00AA2997" w14:paraId="74CF3571" w14:textId="62A0CEED">
      <w:pPr>
        <w:rPr>
          <w:rFonts w:eastAsia="Times New Roman"/>
          <w:bCs/>
          <w:szCs w:val="24"/>
        </w:rPr>
      </w:pPr>
      <w:r w:rsidRPr="00AA2997">
        <w:rPr>
          <w:rFonts w:eastAsia="Times New Roman"/>
          <w:bCs/>
          <w:szCs w:val="24"/>
        </w:rPr>
        <w:t xml:space="preserve">At the time of review of this </w:t>
      </w:r>
      <w:r w:rsidR="000B1D9B">
        <w:rPr>
          <w:rFonts w:eastAsia="Times New Roman"/>
          <w:bCs/>
          <w:szCs w:val="24"/>
        </w:rPr>
        <w:t>d</w:t>
      </w:r>
      <w:r w:rsidRPr="00AA2997">
        <w:rPr>
          <w:rFonts w:eastAsia="Times New Roman"/>
          <w:bCs/>
          <w:szCs w:val="24"/>
        </w:rPr>
        <w:t>ocument, Centrelink now operates as</w:t>
      </w:r>
      <w:r w:rsidR="008B043E">
        <w:rPr>
          <w:rFonts w:eastAsia="Times New Roman"/>
          <w:bCs/>
          <w:szCs w:val="24"/>
        </w:rPr>
        <w:t xml:space="preserve"> a part of</w:t>
      </w:r>
      <w:r w:rsidRPr="00AA2997">
        <w:rPr>
          <w:rFonts w:eastAsia="Times New Roman"/>
          <w:bCs/>
          <w:szCs w:val="24"/>
        </w:rPr>
        <w:t xml:space="preserve"> Services Australia. </w:t>
      </w:r>
      <w:r w:rsidR="00BC419D">
        <w:rPr>
          <w:rFonts w:eastAsia="Times New Roman"/>
          <w:bCs/>
          <w:szCs w:val="24"/>
        </w:rPr>
        <w:t>The phone numbers</w:t>
      </w:r>
      <w:r w:rsidRPr="00AA2997">
        <w:rPr>
          <w:rFonts w:eastAsia="Times New Roman"/>
          <w:bCs/>
          <w:szCs w:val="24"/>
        </w:rPr>
        <w:t xml:space="preserve"> and links related to Centrelink will reach Services Australia.</w:t>
      </w:r>
    </w:p>
    <w:p w:rsidRPr="00AA2997" w:rsidR="00896420" w:rsidP="1621A1CB" w:rsidRDefault="00896420" w14:paraId="19EEB468" w14:textId="133796FD">
      <w:pPr>
        <w:pStyle w:val="Heading2"/>
        <w:rPr>
          <w:sz w:val="32"/>
          <w:szCs w:val="32"/>
        </w:rPr>
      </w:pPr>
      <w:r w:rsidRPr="1621A1CB" w:rsidR="00AA2997">
        <w:rPr>
          <w:sz w:val="32"/>
          <w:szCs w:val="32"/>
        </w:rPr>
        <w:t>A General Overview</w:t>
      </w:r>
    </w:p>
    <w:p w:rsidR="00115E57" w:rsidP="04BADCF2" w:rsidRDefault="00115E57" w14:paraId="612842BE" w14:textId="55643200">
      <w:pPr>
        <w:shd w:val="clear" w:color="auto" w:fill="FFFFFF" w:themeFill="background1"/>
        <w:spacing w:before="36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AU"/>
        </w:rPr>
      </w:pPr>
      <w:r w:rsidRPr="04BADCF2" w:rsidR="00115E57">
        <w:rPr>
          <w:rFonts w:eastAsia="Times New Roman"/>
        </w:rPr>
        <w:t xml:space="preserve">The Age Pension (Blind) offers financial support for people who are permanently blind and over </w:t>
      </w:r>
      <w:r w:rsidRPr="04BADCF2" w:rsidR="001B7F76">
        <w:rPr>
          <w:rFonts w:eastAsia="Times New Roman"/>
        </w:rPr>
        <w:t xml:space="preserve">the </w:t>
      </w:r>
      <w:r w:rsidRPr="04BADCF2" w:rsidR="00115E57">
        <w:rPr>
          <w:rFonts w:eastAsia="Times New Roman"/>
        </w:rPr>
        <w:t>retirement age. When speaking with Centrelink staff, be sure to specify that you are applying for th</w:t>
      </w:r>
      <w:r w:rsidRPr="04BADCF2" w:rsidR="004B540B">
        <w:rPr>
          <w:rFonts w:eastAsia="Times New Roman"/>
        </w:rPr>
        <w:t xml:space="preserve">e Age Pension (Blind) </w:t>
      </w:r>
      <w:r w:rsidRPr="04BADCF2" w:rsidR="00115E57">
        <w:rPr>
          <w:rFonts w:eastAsia="Times New Roman"/>
        </w:rPr>
        <w:t xml:space="preserve">to receive </w:t>
      </w:r>
      <w:r w:rsidRPr="04BADCF2" w:rsidR="00115E57">
        <w:rPr>
          <w:rFonts w:eastAsia="Times New Roman"/>
        </w:rPr>
        <w:t>accurate</w:t>
      </w:r>
      <w:r w:rsidRPr="04BADCF2" w:rsidR="00115E57">
        <w:rPr>
          <w:rFonts w:eastAsia="Times New Roman"/>
        </w:rPr>
        <w:t xml:space="preserve"> information and </w:t>
      </w:r>
      <w:r w:rsidRPr="04BADCF2" w:rsidR="004B540B">
        <w:rPr>
          <w:rFonts w:eastAsia="Times New Roman"/>
        </w:rPr>
        <w:t xml:space="preserve">the right kind of </w:t>
      </w:r>
      <w:r w:rsidRPr="04BADCF2" w:rsidR="00115E57">
        <w:rPr>
          <w:rFonts w:eastAsia="Times New Roman"/>
        </w:rPr>
        <w:t>support.</w:t>
      </w:r>
      <w:r>
        <w:br/>
      </w:r>
      <w:r>
        <w:br/>
      </w:r>
      <w:r w:rsidRPr="04BADCF2" w:rsidR="0D18A4B5">
        <w:rPr>
          <w:rFonts w:ascii="Aptos" w:hAnsi="Aptos" w:eastAsia="Aptos" w:cs="Aptos"/>
          <w:b w:val="0"/>
          <w:bCs w:val="0"/>
          <w:i w:val="0"/>
          <w:iCs w:val="0"/>
          <w:caps w:val="0"/>
          <w:smallCaps w:val="0"/>
          <w:noProof w:val="0"/>
          <w:color w:val="000000" w:themeColor="text1" w:themeTint="FF" w:themeShade="FF"/>
          <w:sz w:val="24"/>
          <w:szCs w:val="24"/>
          <w:lang w:val="en-AU"/>
        </w:rPr>
        <w:t>To meet the permanent blindness medical rules, you must have one of the following:</w:t>
      </w:r>
    </w:p>
    <w:p w:rsidR="04BADCF2" w:rsidP="04BADCF2" w:rsidRDefault="04BADCF2" w14:paraId="566A1854" w14:textId="12E84F82">
      <w:pPr>
        <w:pStyle w:val="ListParagraph"/>
        <w:shd w:val="clear" w:color="auto" w:fill="FFFFFF" w:themeFill="background1"/>
        <w:spacing w:before="0" w:beforeAutospacing="off" w:after="0" w:afterAutospacing="off"/>
        <w:ind w:left="720"/>
        <w:rPr>
          <w:rFonts w:ascii="Aptos" w:hAnsi="Aptos" w:eastAsia="Aptos" w:cs="Aptos"/>
          <w:b w:val="0"/>
          <w:bCs w:val="0"/>
          <w:i w:val="0"/>
          <w:iCs w:val="0"/>
          <w:caps w:val="0"/>
          <w:smallCaps w:val="0"/>
          <w:noProof w:val="0"/>
          <w:color w:val="000000" w:themeColor="text1" w:themeTint="FF" w:themeShade="FF"/>
          <w:sz w:val="24"/>
          <w:szCs w:val="24"/>
          <w:lang w:val="en-US"/>
        </w:rPr>
      </w:pPr>
    </w:p>
    <w:p w:rsidR="2CA52F1E" w:rsidP="04BADCF2" w:rsidRDefault="2CA52F1E" w14:paraId="686326F6" w14:textId="2F0B9D94">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4BADCF2" w:rsidR="2CA52F1E">
        <w:rPr>
          <w:rFonts w:ascii="Aptos" w:hAnsi="Aptos" w:eastAsia="Aptos" w:cs="Aptos"/>
          <w:b w:val="0"/>
          <w:bCs w:val="0"/>
          <w:i w:val="0"/>
          <w:iCs w:val="0"/>
          <w:caps w:val="0"/>
          <w:smallCaps w:val="0"/>
          <w:noProof w:val="0"/>
          <w:color w:val="000000" w:themeColor="text1" w:themeTint="FF" w:themeShade="FF"/>
          <w:sz w:val="24"/>
          <w:szCs w:val="24"/>
          <w:lang w:val="en-AU"/>
        </w:rPr>
        <w:t>V</w:t>
      </w:r>
      <w:r w:rsidRPr="04BADCF2" w:rsidR="0D18A4B5">
        <w:rPr>
          <w:rFonts w:ascii="Aptos" w:hAnsi="Aptos" w:eastAsia="Aptos" w:cs="Aptos"/>
          <w:b w:val="0"/>
          <w:bCs w:val="0"/>
          <w:i w:val="0"/>
          <w:iCs w:val="0"/>
          <w:caps w:val="0"/>
          <w:smallCaps w:val="0"/>
          <w:noProof w:val="0"/>
          <w:color w:val="000000" w:themeColor="text1" w:themeTint="FF" w:themeShade="FF"/>
          <w:sz w:val="24"/>
          <w:szCs w:val="24"/>
          <w:lang w:val="en-AU"/>
        </w:rPr>
        <w:t>isual acuity on the Snellen Scale, after correction with suitable prescription lenses, must be less than 6/60 in both eyes,</w:t>
      </w:r>
    </w:p>
    <w:p w:rsidR="3E91B95E" w:rsidP="04BADCF2" w:rsidRDefault="3E91B95E" w14:paraId="707CB5F7" w14:textId="746F0C08">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4BADCF2" w:rsidR="3E91B95E">
        <w:rPr>
          <w:rFonts w:ascii="Aptos" w:hAnsi="Aptos" w:eastAsia="Aptos" w:cs="Aptos"/>
          <w:b w:val="0"/>
          <w:bCs w:val="0"/>
          <w:i w:val="0"/>
          <w:iCs w:val="0"/>
          <w:caps w:val="0"/>
          <w:smallCaps w:val="0"/>
          <w:noProof w:val="0"/>
          <w:color w:val="000000" w:themeColor="text1" w:themeTint="FF" w:themeShade="FF"/>
          <w:sz w:val="24"/>
          <w:szCs w:val="24"/>
          <w:lang w:val="en-AU"/>
        </w:rPr>
        <w:t>C</w:t>
      </w:r>
      <w:r w:rsidRPr="04BADCF2" w:rsidR="0D18A4B5">
        <w:rPr>
          <w:rFonts w:ascii="Aptos" w:hAnsi="Aptos" w:eastAsia="Aptos" w:cs="Aptos"/>
          <w:b w:val="0"/>
          <w:bCs w:val="0"/>
          <w:i w:val="0"/>
          <w:iCs w:val="0"/>
          <w:caps w:val="0"/>
          <w:smallCaps w:val="0"/>
          <w:noProof w:val="0"/>
          <w:color w:val="000000" w:themeColor="text1" w:themeTint="FF" w:themeShade="FF"/>
          <w:sz w:val="24"/>
          <w:szCs w:val="24"/>
          <w:lang w:val="en-AU"/>
        </w:rPr>
        <w:t>onstriction of the visual field to within 10 degrees of fixation in the better eye, regardless of corrected visual acuity, or</w:t>
      </w:r>
    </w:p>
    <w:p w:rsidR="59DAC3AA" w:rsidP="04BADCF2" w:rsidRDefault="59DAC3AA" w14:paraId="653DA0B5" w14:textId="3598E5F0">
      <w:pPr>
        <w:pStyle w:val="ListParagraph"/>
        <w:numPr>
          <w:ilvl w:val="0"/>
          <w:numId w:val="3"/>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04BADCF2" w:rsidR="59DAC3AA">
        <w:rPr>
          <w:rFonts w:ascii="Aptos" w:hAnsi="Aptos" w:eastAsia="Aptos" w:cs="Aptos"/>
          <w:b w:val="0"/>
          <w:bCs w:val="0"/>
          <w:i w:val="0"/>
          <w:iCs w:val="0"/>
          <w:caps w:val="0"/>
          <w:smallCaps w:val="0"/>
          <w:noProof w:val="0"/>
          <w:color w:val="000000" w:themeColor="text1" w:themeTint="FF" w:themeShade="FF"/>
          <w:sz w:val="24"/>
          <w:szCs w:val="24"/>
          <w:lang w:val="en-AU"/>
        </w:rPr>
        <w:t>A</w:t>
      </w:r>
      <w:r w:rsidRPr="04BADCF2" w:rsidR="0D18A4B5">
        <w:rPr>
          <w:rFonts w:ascii="Aptos" w:hAnsi="Aptos" w:eastAsia="Aptos" w:cs="Aptos"/>
          <w:b w:val="0"/>
          <w:bCs w:val="0"/>
          <w:i w:val="0"/>
          <w:iCs w:val="0"/>
          <w:caps w:val="0"/>
          <w:smallCaps w:val="0"/>
          <w:noProof w:val="0"/>
          <w:color w:val="000000" w:themeColor="text1" w:themeTint="FF" w:themeShade="FF"/>
          <w:sz w:val="24"/>
          <w:szCs w:val="24"/>
          <w:lang w:val="en-AU"/>
        </w:rPr>
        <w:t xml:space="preserve"> combination of vision conditions that result in the same degree of vision loss as the two above.</w:t>
      </w:r>
    </w:p>
    <w:p w:rsidR="04BADCF2" w:rsidP="04BADCF2" w:rsidRDefault="04BADCF2" w14:paraId="09A07EB2" w14:textId="609782C9">
      <w:pPr>
        <w:rPr>
          <w:rFonts w:ascii="Aptos" w:hAnsi="Aptos" w:eastAsia="Aptos" w:cs="Aptos"/>
          <w:b w:val="0"/>
          <w:bCs w:val="0"/>
          <w:i w:val="0"/>
          <w:iCs w:val="0"/>
          <w:caps w:val="0"/>
          <w:smallCaps w:val="0"/>
          <w:noProof w:val="0"/>
          <w:color w:val="000000" w:themeColor="text1" w:themeTint="FF" w:themeShade="FF"/>
          <w:sz w:val="24"/>
          <w:szCs w:val="24"/>
          <w:lang w:val="en-AU"/>
        </w:rPr>
      </w:pPr>
    </w:p>
    <w:p w:rsidR="0D18A4B5" w:rsidP="6E28BD18" w:rsidRDefault="0D18A4B5" w14:paraId="60FF9806" w14:textId="30EA6C4A">
      <w:pPr>
        <w:rPr>
          <w:rFonts w:ascii="Aptos" w:hAnsi="Aptos" w:eastAsia="Aptos" w:cs="Aptos"/>
          <w:b w:val="0"/>
          <w:bCs w:val="0"/>
          <w:i w:val="0"/>
          <w:iCs w:val="0"/>
          <w:caps w:val="0"/>
          <w:smallCaps w:val="0"/>
          <w:noProof w:val="0"/>
          <w:color w:val="000000" w:themeColor="text1" w:themeTint="FF" w:themeShade="FF"/>
          <w:sz w:val="24"/>
          <w:szCs w:val="24"/>
          <w:lang w:val="en-AU"/>
        </w:rPr>
      </w:pPr>
      <w:r w:rsidRPr="6E28BD18" w:rsidR="0D18A4B5">
        <w:rPr>
          <w:rFonts w:ascii="Aptos" w:hAnsi="Aptos" w:eastAsia="Aptos" w:cs="Aptos"/>
          <w:b w:val="0"/>
          <w:bCs w:val="0"/>
          <w:i w:val="0"/>
          <w:iCs w:val="0"/>
          <w:caps w:val="0"/>
          <w:smallCaps w:val="0"/>
          <w:noProof w:val="0"/>
          <w:color w:val="000000" w:themeColor="text1" w:themeTint="FF" w:themeShade="FF"/>
          <w:sz w:val="24"/>
          <w:szCs w:val="24"/>
          <w:lang w:val="en-AU"/>
        </w:rPr>
        <w:t>The qualifying age for the Age Pension is currently 67 years old</w:t>
      </w:r>
      <w:r w:rsidRPr="6E28BD18" w:rsidR="4D9771F2">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6E28BD18" w:rsidR="26EA541D">
        <w:rPr>
          <w:rFonts w:ascii="Aptos" w:hAnsi="Aptos" w:eastAsia="Aptos" w:cs="Aptos"/>
          <w:b w:val="0"/>
          <w:bCs w:val="0"/>
          <w:i w:val="0"/>
          <w:iCs w:val="0"/>
          <w:caps w:val="0"/>
          <w:smallCaps w:val="0"/>
          <w:noProof w:val="0"/>
          <w:color w:val="000000" w:themeColor="text1" w:themeTint="FF" w:themeShade="FF"/>
          <w:sz w:val="24"/>
          <w:szCs w:val="24"/>
          <w:lang w:val="en-AU"/>
        </w:rPr>
        <w:t xml:space="preserve">For people born on after 1 July 1952 the pension age progressively increased by 6 months every 2 years until it reached 67 on 1 July 2021. </w:t>
      </w:r>
      <w:r w:rsidRPr="6E28BD18" w:rsidR="0D18A4B5">
        <w:rPr>
          <w:rFonts w:ascii="Aptos" w:hAnsi="Aptos" w:eastAsia="Aptos" w:cs="Aptos"/>
          <w:b w:val="0"/>
          <w:bCs w:val="0"/>
          <w:i w:val="0"/>
          <w:iCs w:val="0"/>
          <w:caps w:val="0"/>
          <w:smallCaps w:val="0"/>
          <w:noProof w:val="0"/>
          <w:color w:val="000000" w:themeColor="text1" w:themeTint="FF" w:themeShade="FF"/>
          <w:sz w:val="24"/>
          <w:szCs w:val="24"/>
          <w:lang w:val="en-AU"/>
        </w:rPr>
        <w:t xml:space="preserve">You </w:t>
      </w:r>
      <w:r w:rsidRPr="6E28BD18" w:rsidR="009888D7">
        <w:rPr>
          <w:rFonts w:ascii="Aptos" w:hAnsi="Aptos" w:eastAsia="Aptos" w:cs="Aptos"/>
          <w:b w:val="0"/>
          <w:bCs w:val="0"/>
          <w:i w:val="0"/>
          <w:iCs w:val="0"/>
          <w:caps w:val="0"/>
          <w:smallCaps w:val="0"/>
          <w:noProof w:val="0"/>
          <w:color w:val="000000" w:themeColor="text1" w:themeTint="FF" w:themeShade="FF"/>
          <w:sz w:val="24"/>
          <w:szCs w:val="24"/>
          <w:lang w:val="en-AU"/>
        </w:rPr>
        <w:t xml:space="preserve">may </w:t>
      </w:r>
      <w:r w:rsidRPr="6E28BD18" w:rsidR="0D18A4B5">
        <w:rPr>
          <w:rFonts w:ascii="Aptos" w:hAnsi="Aptos" w:eastAsia="Aptos" w:cs="Aptos"/>
          <w:b w:val="0"/>
          <w:bCs w:val="0"/>
          <w:i w:val="0"/>
          <w:iCs w:val="0"/>
          <w:caps w:val="0"/>
          <w:smallCaps w:val="0"/>
          <w:noProof w:val="0"/>
          <w:color w:val="000000" w:themeColor="text1" w:themeTint="FF" w:themeShade="FF"/>
          <w:sz w:val="24"/>
          <w:szCs w:val="24"/>
          <w:lang w:val="en-AU"/>
        </w:rPr>
        <w:t>need to confirm with Centrelink whether you meet the required age.</w:t>
      </w:r>
    </w:p>
    <w:p w:rsidRPr="00AA2997" w:rsidR="002661D0" w:rsidP="00AA2997" w:rsidRDefault="002661D0" w14:paraId="28E68589" w14:textId="77777777">
      <w:pPr>
        <w:rPr>
          <w:rFonts w:eastAsia="Times New Roman"/>
          <w:bCs/>
          <w:szCs w:val="24"/>
        </w:rPr>
      </w:pPr>
    </w:p>
    <w:p w:rsidRPr="00AA2997" w:rsidR="00A52BD3" w:rsidP="6E28BD18" w:rsidRDefault="00A52BD3" w14:paraId="794F0B35" w14:textId="56BCC209">
      <w:pPr>
        <w:rPr>
          <w:rFonts w:ascii="Aptos" w:hAnsi="Aptos" w:eastAsia="Aptos" w:cs="Aptos"/>
          <w:b w:val="0"/>
          <w:bCs w:val="0"/>
          <w:i w:val="0"/>
          <w:iCs w:val="0"/>
          <w:caps w:val="0"/>
          <w:smallCaps w:val="0"/>
          <w:strike w:val="0"/>
          <w:dstrike w:val="0"/>
          <w:noProof w:val="0"/>
          <w:sz w:val="24"/>
          <w:szCs w:val="24"/>
          <w:u w:val="none"/>
          <w:lang w:val="en-AU"/>
        </w:rPr>
      </w:pPr>
      <w:r w:rsidRPr="6E28BD18" w:rsidR="00AA2997">
        <w:rPr>
          <w:rFonts w:eastAsia="Times New Roman"/>
        </w:rPr>
        <w:t>If you are applying for</w:t>
      </w:r>
      <w:r w:rsidRPr="6E28BD18" w:rsidR="002F40B7">
        <w:rPr>
          <w:rFonts w:eastAsia="Times New Roman"/>
        </w:rPr>
        <w:t xml:space="preserve"> the</w:t>
      </w:r>
      <w:r w:rsidRPr="6E28BD18" w:rsidR="00AA2997">
        <w:rPr>
          <w:rFonts w:eastAsia="Times New Roman"/>
        </w:rPr>
        <w:t xml:space="preserve"> Age Pension (Blind), you </w:t>
      </w:r>
      <w:r w:rsidRPr="6E28BD18" w:rsidR="002F40B7">
        <w:rPr>
          <w:rFonts w:eastAsia="Times New Roman"/>
        </w:rPr>
        <w:t xml:space="preserve">will </w:t>
      </w:r>
      <w:r w:rsidRPr="6E28BD18" w:rsidR="00AA2997">
        <w:rPr>
          <w:rFonts w:eastAsia="Times New Roman"/>
        </w:rPr>
        <w:t>need to complete the application form, ‘</w:t>
      </w:r>
      <w:hyperlink r:id="R1bf22e8331e94fe9">
        <w:r w:rsidRPr="6E28BD18" w:rsidR="00AA2997">
          <w:rPr>
            <w:rStyle w:val="Hyperlink"/>
            <w:rFonts w:eastAsia="Times New Roman"/>
          </w:rPr>
          <w:t>Claim for Age Pension and Pension Bonus (SA002</w:t>
        </w:r>
      </w:hyperlink>
      <w:r w:rsidRPr="6E28BD18" w:rsidR="00AA2997">
        <w:rPr>
          <w:rFonts w:eastAsia="Times New Roman"/>
        </w:rPr>
        <w:t>).</w:t>
      </w:r>
      <w:r w:rsidRPr="6E28BD18" w:rsidR="2A9EC1C8">
        <w:rPr>
          <w:rFonts w:eastAsia="Times New Roman"/>
        </w:rPr>
        <w:t xml:space="preserve"> </w:t>
      </w:r>
    </w:p>
    <w:p w:rsidRPr="00AA2997" w:rsidR="00A52BD3" w:rsidP="6E28BD18" w:rsidRDefault="00A52BD3" w14:paraId="2D591591" w14:textId="3AB527D9">
      <w:pPr>
        <w:pStyle w:val="Normal"/>
        <w:rPr>
          <w:rFonts w:eastAsia="Times New Roman"/>
        </w:rPr>
      </w:pPr>
    </w:p>
    <w:p w:rsidR="00A52BD3" w:rsidP="6E28BD18" w:rsidRDefault="00C47986" w14:paraId="22F57C4F" w14:textId="38376C12">
      <w:pPr>
        <w:rPr>
          <w:rFonts w:eastAsia="Times New Roman"/>
        </w:rPr>
      </w:pPr>
      <w:r w:rsidRPr="6E28BD18" w:rsidR="00C47986">
        <w:rPr>
          <w:rFonts w:eastAsia="Times New Roman"/>
        </w:rPr>
        <w:t>When applicable</w:t>
      </w:r>
      <w:r w:rsidRPr="6E28BD18" w:rsidR="0925C923">
        <w:rPr>
          <w:rFonts w:eastAsia="Times New Roman"/>
        </w:rPr>
        <w:t xml:space="preserve"> on the form</w:t>
      </w:r>
      <w:r w:rsidRPr="6E28BD18" w:rsidR="00C47986">
        <w:rPr>
          <w:rFonts w:eastAsia="Times New Roman"/>
        </w:rPr>
        <w:t xml:space="preserve">, make sure to select ‘Yes’ to the application questions that ask if you are claiming the </w:t>
      </w:r>
      <w:r w:rsidRPr="6E28BD18" w:rsidR="001C20A2">
        <w:rPr>
          <w:rFonts w:eastAsia="Times New Roman"/>
        </w:rPr>
        <w:t>Age</w:t>
      </w:r>
      <w:r w:rsidRPr="6E28BD18" w:rsidR="00C47986">
        <w:rPr>
          <w:rFonts w:eastAsia="Times New Roman"/>
        </w:rPr>
        <w:t xml:space="preserve"> Pension</w:t>
      </w:r>
      <w:r w:rsidRPr="6E28BD18" w:rsidR="001C20A2">
        <w:rPr>
          <w:rFonts w:eastAsia="Times New Roman"/>
        </w:rPr>
        <w:t xml:space="preserve"> (Blind)</w:t>
      </w:r>
      <w:r w:rsidRPr="6E28BD18" w:rsidR="00C47986">
        <w:rPr>
          <w:rFonts w:eastAsia="Times New Roman"/>
        </w:rPr>
        <w:t xml:space="preserve"> because you or your partner are permanently blind.</w:t>
      </w:r>
    </w:p>
    <w:p w:rsidR="00187FD8" w:rsidP="00187FD8" w:rsidRDefault="00187FD8" w14:paraId="7CBF0701" w14:textId="77777777">
      <w:pPr>
        <w:rPr>
          <w:rFonts w:eastAsia="Times New Roman"/>
          <w:bCs/>
          <w:szCs w:val="24"/>
        </w:rPr>
      </w:pPr>
    </w:p>
    <w:p w:rsidR="00187FD8" w:rsidP="00187FD8" w:rsidRDefault="00187FD8" w14:paraId="477C9E16" w14:textId="56247ED7">
      <w:pPr>
        <w:rPr>
          <w:rFonts w:eastAsia="Times New Roman"/>
          <w:bCs/>
          <w:szCs w:val="24"/>
        </w:rPr>
      </w:pPr>
      <w:r w:rsidRPr="003D04EB">
        <w:rPr>
          <w:rFonts w:eastAsia="Times New Roman"/>
          <w:bCs/>
          <w:szCs w:val="24"/>
        </w:rPr>
        <w:t xml:space="preserve">Be careful to check the final amount you will be paid. A couple who both receive the </w:t>
      </w:r>
      <w:r>
        <w:rPr>
          <w:rFonts w:eastAsia="Times New Roman"/>
          <w:bCs/>
          <w:szCs w:val="24"/>
        </w:rPr>
        <w:t>Age</w:t>
      </w:r>
      <w:r w:rsidRPr="003D04EB">
        <w:rPr>
          <w:rFonts w:eastAsia="Times New Roman"/>
          <w:bCs/>
          <w:szCs w:val="24"/>
        </w:rPr>
        <w:t xml:space="preserve"> Pension (Blind) will receive the couple rate. </w:t>
      </w:r>
    </w:p>
    <w:p w:rsidRPr="003D04EB" w:rsidR="00187FD8" w:rsidP="00187FD8" w:rsidRDefault="00187FD8" w14:paraId="12C97B0D" w14:textId="77777777">
      <w:pPr>
        <w:rPr>
          <w:rFonts w:eastAsia="Times New Roman"/>
          <w:bCs/>
          <w:szCs w:val="24"/>
        </w:rPr>
      </w:pPr>
    </w:p>
    <w:p w:rsidRPr="003D04EB" w:rsidR="00187FD8" w:rsidP="6E28BD18" w:rsidRDefault="00187FD8" w14:paraId="77DED05B" w14:textId="450BBBD2">
      <w:pPr>
        <w:rPr>
          <w:rFonts w:ascii="Aptos" w:hAnsi="Aptos" w:eastAsia="Aptos" w:cs="Aptos"/>
          <w:sz w:val="24"/>
          <w:szCs w:val="24"/>
        </w:rPr>
      </w:pPr>
      <w:r w:rsidRPr="6E28BD18" w:rsidR="00187FD8">
        <w:rPr>
          <w:rFonts w:eastAsia="Times New Roman"/>
        </w:rPr>
        <w:t>Someone</w:t>
      </w:r>
      <w:r w:rsidRPr="6E28BD18" w:rsidR="00187FD8">
        <w:rPr>
          <w:rFonts w:eastAsia="Times New Roman"/>
        </w:rPr>
        <w:t xml:space="preserve"> receiving the </w:t>
      </w:r>
      <w:r w:rsidRPr="6E28BD18" w:rsidR="00187FD8">
        <w:rPr>
          <w:rFonts w:eastAsia="Times New Roman"/>
        </w:rPr>
        <w:t>Age Pension</w:t>
      </w:r>
      <w:r w:rsidRPr="6E28BD18" w:rsidR="00187FD8">
        <w:rPr>
          <w:rFonts w:eastAsia="Times New Roman"/>
        </w:rPr>
        <w:t xml:space="preserve"> (Blind) who is in a relationship with a sighted person w</w:t>
      </w:r>
      <w:r w:rsidRPr="6E28BD18" w:rsidR="75B95B92">
        <w:rPr>
          <w:rFonts w:eastAsia="Times New Roman"/>
        </w:rPr>
        <w:t>ill receive the couple rate.</w:t>
      </w:r>
      <w:r w:rsidRPr="6E28BD18" w:rsidR="71837381">
        <w:rPr>
          <w:rFonts w:eastAsia="Times New Roman"/>
        </w:rPr>
        <w:t xml:space="preserve"> </w:t>
      </w:r>
    </w:p>
    <w:p w:rsidRPr="003D04EB" w:rsidR="00187FD8" w:rsidP="6E28BD18" w:rsidRDefault="00187FD8" w14:paraId="56E164DA" w14:textId="2747089F">
      <w:pPr>
        <w:rPr>
          <w:rFonts w:eastAsia="Times New Roman"/>
        </w:rPr>
      </w:pPr>
    </w:p>
    <w:p w:rsidRPr="003D04EB" w:rsidR="00187FD8" w:rsidP="6E28BD18" w:rsidRDefault="00187FD8" w14:paraId="56825905" w14:textId="5A3F5E7F">
      <w:pPr>
        <w:rPr>
          <w:rFonts w:ascii="Aptos" w:hAnsi="Aptos" w:eastAsia="Aptos" w:cs="Aptos"/>
          <w:sz w:val="24"/>
          <w:szCs w:val="24"/>
        </w:rPr>
      </w:pPr>
      <w:r w:rsidRPr="6E28BD18" w:rsidR="71837381">
        <w:rPr>
          <w:rFonts w:eastAsia="Times New Roman"/>
        </w:rPr>
        <w:t xml:space="preserve">If you need help to complete your claim, you can visit a service centre online at </w:t>
      </w:r>
      <w:hyperlink r:id="R73a88122f50a41cd">
        <w:r w:rsidRPr="6E28BD18" w:rsidR="71837381">
          <w:rPr>
            <w:rStyle w:val="Hyperlink"/>
            <w:rFonts w:eastAsia="Times New Roman"/>
          </w:rPr>
          <w:t>https://findus.servicesaustralia.gov.au/</w:t>
        </w:r>
      </w:hyperlink>
      <w:r w:rsidRPr="6E28BD18" w:rsidR="71837381">
        <w:rPr>
          <w:rFonts w:eastAsia="Times New Roman"/>
        </w:rPr>
        <w:t xml:space="preserve">, or you can call the older Australians line on </w:t>
      </w:r>
      <w:hyperlink r:id="Rc395d54490d94273">
        <w:r w:rsidRPr="6E28BD18" w:rsidR="71837381">
          <w:rPr>
            <w:rStyle w:val="Hyperlink"/>
            <w:rFonts w:ascii="Aptos" w:hAnsi="Aptos" w:eastAsia="Aptos" w:cs="Aptos"/>
            <w:b w:val="0"/>
            <w:bCs w:val="0"/>
            <w:i w:val="0"/>
            <w:iCs w:val="0"/>
            <w:caps w:val="0"/>
            <w:smallCaps w:val="0"/>
            <w:strike w:val="0"/>
            <w:dstrike w:val="0"/>
            <w:noProof w:val="0"/>
            <w:sz w:val="24"/>
            <w:szCs w:val="24"/>
            <w:u w:val="none"/>
            <w:lang w:val="en-AU"/>
          </w:rPr>
          <w:t>132 300.</w:t>
        </w:r>
      </w:hyperlink>
    </w:p>
    <w:p w:rsidRPr="00AA2997" w:rsidR="00A52BD3" w:rsidP="6E28BD18" w:rsidRDefault="00A52BD3" w14:paraId="4CFA548B" w14:textId="0BFBEAB2">
      <w:pPr>
        <w:pStyle w:val="Normal"/>
        <w:rPr>
          <w:rFonts w:eastAsia="Times New Roman"/>
        </w:rPr>
      </w:pPr>
    </w:p>
    <w:p w:rsidRPr="00A52BD3" w:rsidR="00AA2997" w:rsidP="1621A1CB" w:rsidRDefault="00AA2997" w14:paraId="58180776" w14:textId="686B160E">
      <w:pPr/>
      <w:r>
        <w:br w:type="page"/>
      </w:r>
    </w:p>
    <w:p w:rsidRPr="00A52BD3" w:rsidR="00AA2997" w:rsidP="00A52BD3" w:rsidRDefault="00AA2997" w14:paraId="4DA8BDB4" w14:textId="5818FB85">
      <w:pPr>
        <w:pStyle w:val="Heading2"/>
        <w:rPr>
          <w:sz w:val="32"/>
          <w:szCs w:val="32"/>
        </w:rPr>
      </w:pPr>
      <w:bookmarkStart w:name="_Toc449706805" w:id="2"/>
      <w:r w:rsidRPr="1621A1CB" w:rsidR="00AA2997">
        <w:rPr>
          <w:sz w:val="32"/>
          <w:szCs w:val="32"/>
        </w:rPr>
        <w:t xml:space="preserve">Assessment for </w:t>
      </w:r>
      <w:r w:rsidRPr="1621A1CB" w:rsidR="002644D3">
        <w:rPr>
          <w:sz w:val="32"/>
          <w:szCs w:val="32"/>
        </w:rPr>
        <w:t xml:space="preserve">the </w:t>
      </w:r>
      <w:r w:rsidRPr="1621A1CB" w:rsidR="00AA2997">
        <w:rPr>
          <w:sz w:val="32"/>
          <w:szCs w:val="32"/>
        </w:rPr>
        <w:t>Age Pension (Blind)</w:t>
      </w:r>
      <w:bookmarkEnd w:id="2"/>
    </w:p>
    <w:bookmarkEnd w:id="1"/>
    <w:p w:rsidR="00C47986" w:rsidP="00C47986" w:rsidRDefault="00C47986" w14:paraId="64954846" w14:textId="77777777">
      <w:pPr>
        <w:rPr>
          <w:rFonts w:eastAsia="Times New Roman"/>
          <w:bCs/>
          <w:szCs w:val="24"/>
        </w:rPr>
      </w:pPr>
      <w:r w:rsidRPr="00C47986">
        <w:rPr>
          <w:rFonts w:eastAsia="Times New Roman"/>
          <w:bCs/>
          <w:szCs w:val="24"/>
        </w:rPr>
        <w:t xml:space="preserve">The report from your ophthalmologist or optometrist with the supporting ophthalmologist's details is enough medical evidence to support your application. </w:t>
      </w:r>
    </w:p>
    <w:p w:rsidRPr="00C47986" w:rsidR="00EC7415" w:rsidP="00C47986" w:rsidRDefault="00EC7415" w14:paraId="26DF1899" w14:textId="77777777">
      <w:pPr>
        <w:rPr>
          <w:rFonts w:eastAsia="Times New Roman"/>
          <w:bCs/>
          <w:szCs w:val="24"/>
        </w:rPr>
      </w:pPr>
    </w:p>
    <w:p w:rsidR="0056421C" w:rsidP="6E28BD18" w:rsidRDefault="00025B04" w14:paraId="14F341F7" w14:textId="129197E0">
      <w:pPr>
        <w:rPr>
          <w:rFonts w:eastAsia="Times New Roman"/>
        </w:rPr>
      </w:pPr>
      <w:r w:rsidRPr="6E28BD18" w:rsidR="00025B04">
        <w:rPr>
          <w:rFonts w:eastAsia="Times New Roman"/>
        </w:rPr>
        <w:t>By law, if you are deemed “manifestly eligible” for permanent blindness, meaning your vision cannot be corrected to better than 6/60 in both eyes on the Snellen Scale or if you have 10% or less of your field of vision, you won’t need to undergo further medical assessments.</w:t>
      </w:r>
    </w:p>
    <w:p w:rsidRPr="005B5BA2" w:rsidR="002644D3" w:rsidP="009C4163" w:rsidRDefault="002644D3" w14:paraId="2CEFFC26" w14:textId="77777777">
      <w:pPr>
        <w:rPr>
          <w:bCs/>
          <w:szCs w:val="24"/>
          <w:lang w:val="en-US"/>
        </w:rPr>
      </w:pPr>
    </w:p>
    <w:p w:rsidRPr="00A52BD3" w:rsidR="005B5BA2" w:rsidP="00A52BD3" w:rsidRDefault="005B5BA2" w14:paraId="20EDFCA5" w14:textId="77777777">
      <w:pPr>
        <w:pStyle w:val="Heading2"/>
        <w:rPr>
          <w:sz w:val="32"/>
          <w:szCs w:val="32"/>
        </w:rPr>
      </w:pPr>
      <w:r w:rsidRPr="00A52BD3">
        <w:rPr>
          <w:sz w:val="32"/>
          <w:szCs w:val="32"/>
        </w:rPr>
        <w:t>Supporting medical evidence</w:t>
      </w:r>
    </w:p>
    <w:p w:rsidR="00EF32E0" w:rsidP="04BADCF2" w:rsidRDefault="00EF32E0" w14:paraId="57E046EF" w14:textId="719FB39B">
      <w:pPr/>
      <w:r w:rsidR="00EF32E0">
        <w:rPr/>
        <w:t xml:space="preserve">You need your ophthalmologist to complete a report that includes information about the diagnosis, treatment, symptoms, functional </w:t>
      </w:r>
      <w:r w:rsidR="00EF32E0">
        <w:rPr/>
        <w:t>impact</w:t>
      </w:r>
      <w:r w:rsidR="00EF32E0">
        <w:rPr/>
        <w:t xml:space="preserve"> and prognosis of your vision. Your ophthalmologist needs to fill out </w:t>
      </w:r>
      <w:hyperlink r:id="Re9de53fe405b4ec2">
        <w:r w:rsidRPr="04BADCF2" w:rsidR="00EF32E0">
          <w:rPr>
            <w:rStyle w:val="Hyperlink"/>
          </w:rPr>
          <w:t>form SA-013</w:t>
        </w:r>
      </w:hyperlink>
      <w:r w:rsidR="00EF32E0">
        <w:rPr/>
        <w:t xml:space="preserve"> to provide evidence of permanent blindness</w:t>
      </w:r>
      <w:r w:rsidR="2E69F633">
        <w:rPr/>
        <w:t xml:space="preserve"> and your visual acuity.</w:t>
      </w:r>
    </w:p>
    <w:p w:rsidRPr="005B5BA2" w:rsidR="00EF32E0" w:rsidP="00EF32E0" w:rsidRDefault="00EF32E0" w14:paraId="520E1FB5" w14:textId="77777777">
      <w:pPr>
        <w:rPr>
          <w:bCs/>
          <w:szCs w:val="24"/>
        </w:rPr>
      </w:pPr>
    </w:p>
    <w:p w:rsidR="00EF32E0" w:rsidP="00EF32E0" w:rsidRDefault="00EF32E0" w14:paraId="02E33747" w14:textId="7AD1EB0B">
      <w:pPr>
        <w:rPr>
          <w:bCs/>
          <w:szCs w:val="24"/>
        </w:rPr>
      </w:pPr>
      <w:r w:rsidRPr="005B5BA2">
        <w:rPr>
          <w:bCs/>
          <w:szCs w:val="24"/>
        </w:rPr>
        <w:t xml:space="preserve">You can ask your optometrist to fill out this form instead. However, they need to provide details of your treating or formerly treating ophthalmologist, and clearly indicate the last referral they </w:t>
      </w:r>
      <w:r w:rsidR="00504046">
        <w:rPr>
          <w:bCs/>
          <w:szCs w:val="24"/>
        </w:rPr>
        <w:t xml:space="preserve">were </w:t>
      </w:r>
      <w:r w:rsidRPr="005B5BA2">
        <w:rPr>
          <w:bCs/>
          <w:szCs w:val="24"/>
        </w:rPr>
        <w:t>provided.</w:t>
      </w:r>
    </w:p>
    <w:p w:rsidRPr="005B5BA2" w:rsidR="00EF32E0" w:rsidP="00EF32E0" w:rsidRDefault="00EF32E0" w14:paraId="61CC4E12" w14:textId="77777777">
      <w:pPr>
        <w:rPr>
          <w:bCs/>
          <w:szCs w:val="24"/>
        </w:rPr>
      </w:pPr>
    </w:p>
    <w:p w:rsidR="00EF32E0" w:rsidP="00EF32E0" w:rsidRDefault="00EF32E0" w14:paraId="75DBF9FB" w14:textId="77777777">
      <w:pPr>
        <w:rPr>
          <w:bCs/>
          <w:szCs w:val="24"/>
        </w:rPr>
      </w:pPr>
      <w:r w:rsidRPr="005B5BA2">
        <w:rPr>
          <w:bCs/>
          <w:szCs w:val="24"/>
        </w:rPr>
        <w:t>You do not need to provide any other medical evidence to satisfy the criteria for permanent blindness.</w:t>
      </w:r>
    </w:p>
    <w:p w:rsidRPr="005B5BA2" w:rsidR="009727AA" w:rsidP="005B5BA2" w:rsidRDefault="009727AA" w14:paraId="2B1A36EA" w14:textId="77777777">
      <w:pPr>
        <w:rPr>
          <w:bCs/>
          <w:szCs w:val="24"/>
        </w:rPr>
      </w:pPr>
    </w:p>
    <w:p w:rsidRPr="009727AA" w:rsidR="005B5BA2" w:rsidP="009727AA" w:rsidRDefault="005B5BA2" w14:paraId="73C49252" w14:textId="05094699">
      <w:pPr>
        <w:pStyle w:val="Heading2"/>
        <w:rPr>
          <w:sz w:val="32"/>
          <w:szCs w:val="32"/>
        </w:rPr>
      </w:pPr>
      <w:bookmarkStart w:name="_Toc449706807" w:id="3"/>
      <w:r w:rsidRPr="009727AA">
        <w:rPr>
          <w:sz w:val="32"/>
          <w:szCs w:val="32"/>
        </w:rPr>
        <w:t>Income and Assets test</w:t>
      </w:r>
      <w:bookmarkEnd w:id="3"/>
      <w:r w:rsidR="001F7F0D">
        <w:rPr>
          <w:sz w:val="32"/>
          <w:szCs w:val="32"/>
        </w:rPr>
        <w:t>ing</w:t>
      </w:r>
    </w:p>
    <w:p w:rsidR="00EC2074" w:rsidP="0056491B" w:rsidRDefault="00EC2074" w14:paraId="02C5EC1C" w14:textId="5C5A0D91">
      <w:r w:rsidRPr="00EC2074">
        <w:t>When claiming the Age Pension (Blind), you don’t need to complete the separate Income and Assets form since this pension isn’t income or asset</w:t>
      </w:r>
      <w:r w:rsidR="00066867">
        <w:t xml:space="preserve"> </w:t>
      </w:r>
      <w:r w:rsidRPr="00EC2074">
        <w:t>tested. However, if you are applying for Rent Assistance, you will need to complete the form.</w:t>
      </w:r>
    </w:p>
    <w:p w:rsidR="00F24914" w:rsidP="0056491B" w:rsidRDefault="00F24914" w14:paraId="7121A878" w14:textId="77777777"/>
    <w:p w:rsidR="20DE4584" w:rsidP="6E28BD18" w:rsidRDefault="20DE4584" w14:paraId="44C48482" w14:textId="7CB50D69">
      <w:pPr>
        <w:pStyle w:val="Normal"/>
        <w:suppressLineNumbers w:val="0"/>
        <w:bidi w:val="0"/>
        <w:spacing w:before="0" w:beforeAutospacing="off" w:after="0" w:afterAutospacing="off" w:line="259" w:lineRule="auto"/>
        <w:ind w:left="0" w:right="0"/>
        <w:jc w:val="left"/>
      </w:pPr>
      <w:r w:rsidR="20DE4584">
        <w:rPr/>
        <w:t xml:space="preserve">If you have a partner, their income and assets </w:t>
      </w:r>
      <w:r w:rsidR="20DE4584">
        <w:rPr/>
        <w:t>won’t</w:t>
      </w:r>
      <w:r w:rsidR="20DE4584">
        <w:rPr/>
        <w:t xml:space="preserve"> impact your payment rate. If they are </w:t>
      </w:r>
      <w:r w:rsidR="20DE4584">
        <w:rPr/>
        <w:t>receiving</w:t>
      </w:r>
      <w:r w:rsidR="20DE4584">
        <w:rPr/>
        <w:t xml:space="preserve"> an income support payment from Centrelink, the income and assets test will only apply to their payment.</w:t>
      </w:r>
    </w:p>
    <w:p w:rsidRPr="00951334" w:rsidR="00F24914" w:rsidP="00F24914" w:rsidRDefault="00F24914" w14:paraId="260A908F" w14:textId="77777777"/>
    <w:p w:rsidR="00F24914" w:rsidP="00F24914" w:rsidRDefault="00F24914" w14:paraId="7E58837B" w14:textId="0D8DFC01">
      <w:r w:rsidRPr="00613C4D">
        <w:t xml:space="preserve">If your relationship status changes to being married or in a couple, you must inform Centrelink to avoid overpayments and potential debt. If you are currently receiving the full single rate of the </w:t>
      </w:r>
      <w:r w:rsidR="00D05125">
        <w:t>Age Pension</w:t>
      </w:r>
      <w:r w:rsidRPr="00613C4D">
        <w:t xml:space="preserve"> (Blind), your payment will be adjusted to the </w:t>
      </w:r>
      <w:r w:rsidR="00D05125">
        <w:t>couple</w:t>
      </w:r>
      <w:r w:rsidRPr="00613C4D">
        <w:t xml:space="preserve"> rate.</w:t>
      </w:r>
    </w:p>
    <w:p w:rsidR="008F0755" w:rsidP="1621A1CB" w:rsidRDefault="0056491B" w14:paraId="7A08AC2B" w14:textId="0B8310EC">
      <w:pPr>
        <w:pStyle w:val="Normal"/>
      </w:pPr>
      <w:bookmarkStart w:name="_Toc449706808" w:id="4"/>
    </w:p>
    <w:p w:rsidRPr="008F0755" w:rsidR="005B5BA2" w:rsidP="008F0755" w:rsidRDefault="005B5BA2" w14:paraId="43657214" w14:textId="20C67F27">
      <w:pPr>
        <w:pStyle w:val="Heading2"/>
        <w:rPr>
          <w:sz w:val="32"/>
          <w:szCs w:val="32"/>
        </w:rPr>
      </w:pPr>
      <w:r w:rsidRPr="008F0755">
        <w:rPr>
          <w:sz w:val="32"/>
          <w:szCs w:val="32"/>
        </w:rPr>
        <w:t>Portability</w:t>
      </w:r>
      <w:bookmarkEnd w:id="4"/>
    </w:p>
    <w:p w:rsidR="00EC7415" w:rsidP="00EC7415" w:rsidRDefault="00EC7415" w14:paraId="1878EAB4" w14:textId="26BC38BC">
      <w:pPr>
        <w:rPr>
          <w:bCs/>
          <w:szCs w:val="24"/>
        </w:rPr>
      </w:pPr>
      <w:r w:rsidRPr="00EC7415">
        <w:rPr>
          <w:bCs/>
          <w:szCs w:val="24"/>
        </w:rPr>
        <w:t>Portability is the length of time you can leave Australia and continue to receive your payments. Under the Age Pension (Blind), basic portability is six weeks in a rolling 12</w:t>
      </w:r>
      <w:r w:rsidR="00152880">
        <w:rPr>
          <w:bCs/>
          <w:szCs w:val="24"/>
        </w:rPr>
        <w:t>-</w:t>
      </w:r>
      <w:r w:rsidRPr="00EC7415">
        <w:rPr>
          <w:bCs/>
          <w:szCs w:val="24"/>
        </w:rPr>
        <w:t>month period, which begins from your first day overseas.</w:t>
      </w:r>
    </w:p>
    <w:p w:rsidRPr="00EC7415" w:rsidR="00EC7415" w:rsidP="00EC7415" w:rsidRDefault="00EC7415" w14:paraId="011E1219" w14:textId="77777777">
      <w:pPr>
        <w:rPr>
          <w:bCs/>
          <w:szCs w:val="24"/>
        </w:rPr>
      </w:pPr>
    </w:p>
    <w:p w:rsidRPr="00EC7415" w:rsidR="00EC7415" w:rsidP="00EC7415" w:rsidRDefault="00EC7415" w14:paraId="71D0AB91" w14:textId="7BC0E24B">
      <w:pPr>
        <w:rPr>
          <w:bCs/>
          <w:szCs w:val="24"/>
        </w:rPr>
      </w:pPr>
      <w:r w:rsidRPr="00EC7415">
        <w:rPr>
          <w:bCs/>
          <w:szCs w:val="24"/>
        </w:rPr>
        <w:t xml:space="preserve">You must notify Services Australia International Services on </w:t>
      </w:r>
      <w:r w:rsidRPr="0027784A">
        <w:rPr>
          <w:bCs/>
          <w:szCs w:val="24"/>
        </w:rPr>
        <w:t>131 673</w:t>
      </w:r>
      <w:r w:rsidRPr="00EC7415">
        <w:rPr>
          <w:bCs/>
          <w:szCs w:val="24"/>
        </w:rPr>
        <w:t xml:space="preserve"> of your intention to travel and when you plan to return home. This guarantees no interruption to your payments. </w:t>
      </w:r>
      <w:r w:rsidRPr="00EC7415">
        <w:rPr>
          <w:bCs/>
          <w:szCs w:val="24"/>
        </w:rPr>
        <w:br/>
      </w:r>
      <w:r w:rsidRPr="00EC7415">
        <w:rPr>
          <w:bCs/>
          <w:szCs w:val="24"/>
        </w:rPr>
        <w:br/>
      </w:r>
      <w:r w:rsidRPr="006956F5" w:rsidR="006956F5">
        <w:rPr>
          <w:bCs/>
          <w:szCs w:val="24"/>
        </w:rPr>
        <w:t>If you plan to travel for more than six weeks, talk to the team so they can assess if you’re eligible to continue receiving payments based on your personal circumstances.</w:t>
      </w:r>
    </w:p>
    <w:p w:rsidRPr="005B5BA2" w:rsidR="00A31C46" w:rsidP="005B5BA2" w:rsidRDefault="00A31C46" w14:paraId="11FE6ACE" w14:textId="77777777">
      <w:pPr>
        <w:rPr>
          <w:bCs/>
          <w:szCs w:val="24"/>
        </w:rPr>
      </w:pPr>
    </w:p>
    <w:p w:rsidRPr="00A31C46" w:rsidR="005B5BA2" w:rsidP="00A31C46" w:rsidRDefault="005B5BA2" w14:paraId="2799F754" w14:textId="77777777">
      <w:pPr>
        <w:pStyle w:val="Heading2"/>
        <w:rPr>
          <w:sz w:val="32"/>
          <w:szCs w:val="32"/>
        </w:rPr>
      </w:pPr>
      <w:r w:rsidRPr="00A31C46">
        <w:rPr>
          <w:sz w:val="32"/>
          <w:szCs w:val="32"/>
        </w:rPr>
        <w:t>The Age Pension (Blind) and Income Tax</w:t>
      </w:r>
    </w:p>
    <w:p w:rsidR="00280107" w:rsidP="005B5BA2" w:rsidRDefault="00EF1E5A" w14:paraId="2564F67A" w14:textId="6F1430D1">
      <w:pPr>
        <w:rPr>
          <w:bCs/>
          <w:szCs w:val="24"/>
        </w:rPr>
      </w:pPr>
      <w:r w:rsidRPr="00EF1E5A">
        <w:rPr>
          <w:bCs/>
          <w:szCs w:val="24"/>
        </w:rPr>
        <w:t>The Age Pension (Blind) is classified as taxable income</w:t>
      </w:r>
      <w:r w:rsidR="0029391F">
        <w:rPr>
          <w:bCs/>
          <w:szCs w:val="24"/>
        </w:rPr>
        <w:t>.</w:t>
      </w:r>
      <w:r w:rsidR="005E7E2A">
        <w:rPr>
          <w:bCs/>
          <w:szCs w:val="24"/>
        </w:rPr>
        <w:t xml:space="preserve"> Remember to </w:t>
      </w:r>
      <w:r w:rsidRPr="005E7E2A" w:rsidR="005E7E2A">
        <w:rPr>
          <w:bCs/>
          <w:szCs w:val="24"/>
        </w:rPr>
        <w:t xml:space="preserve">factor </w:t>
      </w:r>
      <w:r w:rsidR="005E7E2A">
        <w:rPr>
          <w:bCs/>
          <w:szCs w:val="24"/>
        </w:rPr>
        <w:t>the pension</w:t>
      </w:r>
      <w:r w:rsidRPr="005E7E2A" w:rsidR="005E7E2A">
        <w:rPr>
          <w:bCs/>
          <w:szCs w:val="24"/>
        </w:rPr>
        <w:t xml:space="preserve"> into </w:t>
      </w:r>
      <w:r w:rsidR="005E7E2A">
        <w:rPr>
          <w:bCs/>
          <w:szCs w:val="24"/>
        </w:rPr>
        <w:t>your</w:t>
      </w:r>
      <w:r w:rsidR="0029391F">
        <w:rPr>
          <w:bCs/>
          <w:szCs w:val="24"/>
        </w:rPr>
        <w:t xml:space="preserve"> yearly</w:t>
      </w:r>
      <w:r w:rsidRPr="005E7E2A" w:rsidR="005E7E2A">
        <w:rPr>
          <w:bCs/>
          <w:szCs w:val="24"/>
        </w:rPr>
        <w:t xml:space="preserve"> financial planning to </w:t>
      </w:r>
      <w:r w:rsidR="005E7E2A">
        <w:rPr>
          <w:bCs/>
          <w:szCs w:val="24"/>
        </w:rPr>
        <w:t>make sure you understand</w:t>
      </w:r>
      <w:r w:rsidRPr="005E7E2A" w:rsidR="005E7E2A">
        <w:rPr>
          <w:bCs/>
          <w:szCs w:val="24"/>
        </w:rPr>
        <w:t xml:space="preserve"> any potential tax impacts </w:t>
      </w:r>
      <w:r w:rsidR="0029391F">
        <w:rPr>
          <w:bCs/>
          <w:szCs w:val="24"/>
        </w:rPr>
        <w:t>you may face.</w:t>
      </w:r>
    </w:p>
    <w:p w:rsidRPr="005B5BA2" w:rsidR="0029391F" w:rsidP="005B5BA2" w:rsidRDefault="0029391F" w14:paraId="7D64B4F0" w14:textId="77777777">
      <w:pPr>
        <w:rPr>
          <w:bCs/>
          <w:szCs w:val="24"/>
        </w:rPr>
      </w:pPr>
    </w:p>
    <w:p w:rsidRPr="00A31C46" w:rsidR="005B5BA2" w:rsidP="00A31C46" w:rsidRDefault="005B5BA2" w14:paraId="427BBEAB" w14:textId="77777777">
      <w:pPr>
        <w:pStyle w:val="Heading2"/>
        <w:rPr>
          <w:sz w:val="32"/>
          <w:szCs w:val="32"/>
        </w:rPr>
      </w:pPr>
      <w:r w:rsidRPr="00A31C46">
        <w:rPr>
          <w:sz w:val="32"/>
          <w:szCs w:val="32"/>
        </w:rPr>
        <w:t>My Aged Care</w:t>
      </w:r>
    </w:p>
    <w:p w:rsidR="00A200B4" w:rsidP="00A200B4" w:rsidRDefault="00A200B4" w14:paraId="0B24E051" w14:textId="77777777">
      <w:pPr>
        <w:rPr>
          <w:bCs/>
          <w:szCs w:val="24"/>
        </w:rPr>
      </w:pPr>
      <w:r w:rsidRPr="00C86113">
        <w:rPr>
          <w:bCs/>
          <w:szCs w:val="24"/>
        </w:rPr>
        <w:t>My Aged Care provides subsidies for services to help you stay in your home</w:t>
      </w:r>
      <w:r>
        <w:rPr>
          <w:bCs/>
          <w:szCs w:val="24"/>
        </w:rPr>
        <w:t xml:space="preserve"> for</w:t>
      </w:r>
      <w:r w:rsidRPr="00C86113">
        <w:rPr>
          <w:bCs/>
          <w:szCs w:val="24"/>
        </w:rPr>
        <w:t xml:space="preserve"> longer. </w:t>
      </w:r>
    </w:p>
    <w:p w:rsidRPr="00C86113" w:rsidR="00A200B4" w:rsidP="00A200B4" w:rsidRDefault="00A200B4" w14:paraId="76BDDE43" w14:textId="77777777">
      <w:pPr>
        <w:rPr>
          <w:bCs/>
          <w:szCs w:val="24"/>
        </w:rPr>
      </w:pPr>
    </w:p>
    <w:p w:rsidRPr="00C86113" w:rsidR="00A200B4" w:rsidP="00A200B4" w:rsidRDefault="00A200B4" w14:paraId="6D04B1E3" w14:textId="77777777">
      <w:pPr>
        <w:rPr>
          <w:bCs/>
          <w:szCs w:val="24"/>
        </w:rPr>
      </w:pPr>
      <w:r w:rsidRPr="00C86113">
        <w:rPr>
          <w:bCs/>
          <w:szCs w:val="24"/>
        </w:rPr>
        <w:t>Eligibility for My Aged Care supports is separate from the Age Pension (Blind) or other income support payments, though some programs do require an income assessment.</w:t>
      </w:r>
    </w:p>
    <w:p w:rsidRPr="00C86113" w:rsidR="00A200B4" w:rsidP="00A200B4" w:rsidRDefault="00A200B4" w14:paraId="682953EA" w14:textId="77777777">
      <w:pPr>
        <w:rPr>
          <w:bCs/>
          <w:szCs w:val="24"/>
        </w:rPr>
      </w:pPr>
    </w:p>
    <w:p w:rsidR="00675A17" w:rsidP="00A200B4" w:rsidRDefault="00A200B4" w14:paraId="45020E91" w14:textId="77777777">
      <w:pPr>
        <w:rPr>
          <w:bCs/>
          <w:szCs w:val="24"/>
        </w:rPr>
      </w:pPr>
      <w:r w:rsidRPr="00C86113">
        <w:rPr>
          <w:bCs/>
          <w:szCs w:val="24"/>
        </w:rPr>
        <w:t>If you receive a pension or other income, you may need to complete an income assessment to determine your subsidy level.</w:t>
      </w:r>
    </w:p>
    <w:p w:rsidR="00675A17" w:rsidP="00A200B4" w:rsidRDefault="00675A17" w14:paraId="3BB2B19C" w14:textId="77777777">
      <w:pPr>
        <w:rPr>
          <w:bCs/>
          <w:szCs w:val="24"/>
        </w:rPr>
      </w:pPr>
    </w:p>
    <w:p w:rsidR="00BD7EDB" w:rsidP="00A200B4" w:rsidRDefault="00675A17" w14:paraId="3F919A9F" w14:textId="77777777">
      <w:pPr>
        <w:rPr>
          <w:bCs/>
          <w:szCs w:val="24"/>
        </w:rPr>
      </w:pPr>
      <w:r w:rsidRPr="00C86113">
        <w:rPr>
          <w:bCs/>
          <w:szCs w:val="24"/>
        </w:rPr>
        <w:t>Vision Australia is a registered provider with My Aged Care, and our staff can assist you in understanding and navigating the referral process if you’re eligible.</w:t>
      </w:r>
      <w:r w:rsidR="00BD7EDB">
        <w:rPr>
          <w:bCs/>
          <w:szCs w:val="24"/>
        </w:rPr>
        <w:t xml:space="preserve"> </w:t>
      </w:r>
    </w:p>
    <w:p w:rsidR="00BD7EDB" w:rsidP="00A200B4" w:rsidRDefault="00BD7EDB" w14:paraId="347107EA" w14:textId="77777777">
      <w:pPr>
        <w:rPr>
          <w:bCs/>
          <w:szCs w:val="24"/>
        </w:rPr>
      </w:pPr>
    </w:p>
    <w:p w:rsidR="00A200B4" w:rsidP="00A200B4" w:rsidRDefault="00DC46B4" w14:paraId="68C22E18" w14:textId="285AF82E">
      <w:pPr>
        <w:rPr>
          <w:bCs/>
          <w:szCs w:val="24"/>
        </w:rPr>
      </w:pPr>
      <w:r>
        <w:rPr>
          <w:bCs/>
          <w:szCs w:val="24"/>
        </w:rPr>
        <w:t>To learn more</w:t>
      </w:r>
      <w:r w:rsidR="005D16A8">
        <w:rPr>
          <w:bCs/>
          <w:szCs w:val="24"/>
        </w:rPr>
        <w:t>,</w:t>
      </w:r>
      <w:r w:rsidRPr="00EC7415" w:rsidR="00A200B4">
        <w:rPr>
          <w:bCs/>
          <w:szCs w:val="24"/>
        </w:rPr>
        <w:t xml:space="preserve"> call Vision Australia on 1300 84 74 88 or My Aged Care on 1800 200 552</w:t>
      </w:r>
      <w:r w:rsidR="005D16A8">
        <w:rPr>
          <w:bCs/>
          <w:szCs w:val="24"/>
        </w:rPr>
        <w:t>.</w:t>
      </w:r>
    </w:p>
    <w:p w:rsidR="00A200B4" w:rsidP="00A200B4" w:rsidRDefault="00A200B4" w14:paraId="532E1CAF" w14:textId="77777777">
      <w:pPr>
        <w:rPr>
          <w:bCs/>
          <w:szCs w:val="24"/>
        </w:rPr>
      </w:pPr>
    </w:p>
    <w:p w:rsidR="002A39B7" w:rsidP="002A39B7" w:rsidRDefault="002A39B7" w14:paraId="4C77CD40" w14:textId="77777777">
      <w:pPr>
        <w:pStyle w:val="Heading2"/>
        <w:rPr>
          <w:sz w:val="32"/>
          <w:szCs w:val="32"/>
        </w:rPr>
      </w:pPr>
      <w:r w:rsidRPr="004E32D0">
        <w:rPr>
          <w:sz w:val="32"/>
          <w:szCs w:val="32"/>
        </w:rPr>
        <w:t xml:space="preserve">For </w:t>
      </w:r>
      <w:r>
        <w:rPr>
          <w:sz w:val="32"/>
          <w:szCs w:val="32"/>
        </w:rPr>
        <w:t>more</w:t>
      </w:r>
      <w:r w:rsidRPr="004E32D0">
        <w:rPr>
          <w:sz w:val="32"/>
          <w:szCs w:val="32"/>
        </w:rPr>
        <w:t xml:space="preserve"> </w:t>
      </w:r>
      <w:r>
        <w:rPr>
          <w:sz w:val="32"/>
          <w:szCs w:val="32"/>
        </w:rPr>
        <w:t>i</w:t>
      </w:r>
      <w:r w:rsidRPr="004E32D0">
        <w:rPr>
          <w:sz w:val="32"/>
          <w:szCs w:val="32"/>
        </w:rPr>
        <w:t>nformation</w:t>
      </w:r>
    </w:p>
    <w:p w:rsidR="002A39B7" w:rsidP="002A39B7" w:rsidRDefault="002A39B7" w14:paraId="3751FB6C" w14:textId="7C732FF8">
      <w:r w:rsidRPr="00987281">
        <w:t>For any questions around the information presented in this guide, or to obtain this guide in another format, call Vision Australia’s Advocacy team on 1300 847 466 or email them at</w:t>
      </w:r>
      <w:r>
        <w:t xml:space="preserve"> </w:t>
      </w:r>
      <w:hyperlink w:history="1" r:id="rId9">
        <w:r w:rsidRPr="00A40AA2">
          <w:rPr>
            <w:rStyle w:val="Hyperlink"/>
          </w:rPr>
          <w:t>advocacy@visionaustralia.org</w:t>
        </w:r>
      </w:hyperlink>
      <w:r>
        <w:t>.</w:t>
      </w:r>
    </w:p>
    <w:p w:rsidRPr="00053BAB" w:rsidR="00DC46B4" w:rsidP="002A39B7" w:rsidRDefault="00DC46B4" w14:paraId="5AD49BE6" w14:textId="77777777">
      <w:pPr>
        <w:rPr>
          <w:sz w:val="32"/>
        </w:rPr>
      </w:pPr>
    </w:p>
    <w:p w:rsidRPr="00EB575E" w:rsidR="00BE7262" w:rsidP="00136465" w:rsidRDefault="002A39B7" w14:paraId="008B4E15" w14:textId="56C35675">
      <w:r w:rsidR="002A39B7">
        <w:rPr/>
        <w:t>Last revised</w:t>
      </w:r>
      <w:r w:rsidR="002A39B7">
        <w:rPr/>
        <w:t xml:space="preserve"> </w:t>
      </w:r>
      <w:r w:rsidR="0D5FA9D6">
        <w:rPr/>
        <w:t>3 December</w:t>
      </w:r>
      <w:r w:rsidR="002A39B7">
        <w:rPr/>
        <w:t xml:space="preserve"> 202</w:t>
      </w:r>
      <w:r w:rsidR="00EB575E">
        <w:rPr/>
        <w:t>4.</w:t>
      </w:r>
    </w:p>
    <w:sectPr w:rsidRPr="00EB575E" w:rsidR="00BE72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6df13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1F44328"/>
    <w:multiLevelType w:val="hybridMultilevel"/>
    <w:tmpl w:val="0D2836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630E6486"/>
    <w:multiLevelType w:val="hybridMultilevel"/>
    <w:tmpl w:val="4950DE3A"/>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start w:val="1"/>
      <w:numFmt w:val="bullet"/>
      <w:lvlText w:val=""/>
      <w:lvlJc w:val="left"/>
      <w:pPr>
        <w:ind w:left="3600" w:hanging="360"/>
      </w:pPr>
      <w:rPr>
        <w:rFonts w:hint="default" w:ascii="Symbol" w:hAnsi="Symbol"/>
      </w:rPr>
    </w:lvl>
    <w:lvl w:ilvl="4" w:tplc="0C090003">
      <w:start w:val="1"/>
      <w:numFmt w:val="bullet"/>
      <w:lvlText w:val="o"/>
      <w:lvlJc w:val="left"/>
      <w:pPr>
        <w:ind w:left="4320" w:hanging="360"/>
      </w:pPr>
      <w:rPr>
        <w:rFonts w:hint="default" w:ascii="Courier New" w:hAnsi="Courier New" w:cs="Courier New"/>
      </w:rPr>
    </w:lvl>
    <w:lvl w:ilvl="5" w:tplc="0C090005">
      <w:start w:val="1"/>
      <w:numFmt w:val="bullet"/>
      <w:lvlText w:val=""/>
      <w:lvlJc w:val="left"/>
      <w:pPr>
        <w:ind w:left="5040" w:hanging="360"/>
      </w:pPr>
      <w:rPr>
        <w:rFonts w:hint="default" w:ascii="Wingdings" w:hAnsi="Wingdings"/>
      </w:rPr>
    </w:lvl>
    <w:lvl w:ilvl="6" w:tplc="0C090001">
      <w:start w:val="1"/>
      <w:numFmt w:val="bullet"/>
      <w:lvlText w:val=""/>
      <w:lvlJc w:val="left"/>
      <w:pPr>
        <w:ind w:left="5760" w:hanging="360"/>
      </w:pPr>
      <w:rPr>
        <w:rFonts w:hint="default" w:ascii="Symbol" w:hAnsi="Symbol"/>
      </w:rPr>
    </w:lvl>
    <w:lvl w:ilvl="7" w:tplc="0C090003">
      <w:start w:val="1"/>
      <w:numFmt w:val="bullet"/>
      <w:lvlText w:val="o"/>
      <w:lvlJc w:val="left"/>
      <w:pPr>
        <w:ind w:left="6480" w:hanging="360"/>
      </w:pPr>
      <w:rPr>
        <w:rFonts w:hint="default" w:ascii="Courier New" w:hAnsi="Courier New" w:cs="Courier New"/>
      </w:rPr>
    </w:lvl>
    <w:lvl w:ilvl="8" w:tplc="0C090005">
      <w:start w:val="1"/>
      <w:numFmt w:val="bullet"/>
      <w:lvlText w:val=""/>
      <w:lvlJc w:val="left"/>
      <w:pPr>
        <w:ind w:left="7200" w:hanging="360"/>
      </w:pPr>
      <w:rPr>
        <w:rFonts w:hint="default" w:ascii="Wingdings" w:hAnsi="Wingdings"/>
      </w:rPr>
    </w:lvl>
  </w:abstractNum>
  <w:num w:numId="3">
    <w:abstractNumId w:val="2"/>
  </w:num>
  <w:num w:numId="1" w16cid:durableId="1767919686">
    <w:abstractNumId w:val="0"/>
  </w:num>
  <w:num w:numId="2" w16cid:durableId="10842585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35"/>
    <w:rsid w:val="00025B04"/>
    <w:rsid w:val="00053BAB"/>
    <w:rsid w:val="00066867"/>
    <w:rsid w:val="000805A5"/>
    <w:rsid w:val="000945AD"/>
    <w:rsid w:val="000B1D9B"/>
    <w:rsid w:val="000E613A"/>
    <w:rsid w:val="00113635"/>
    <w:rsid w:val="00115E57"/>
    <w:rsid w:val="00136465"/>
    <w:rsid w:val="001479B9"/>
    <w:rsid w:val="00152880"/>
    <w:rsid w:val="00154516"/>
    <w:rsid w:val="00157EA4"/>
    <w:rsid w:val="00171E48"/>
    <w:rsid w:val="0017553C"/>
    <w:rsid w:val="00186143"/>
    <w:rsid w:val="00187FD8"/>
    <w:rsid w:val="0019574A"/>
    <w:rsid w:val="001A589F"/>
    <w:rsid w:val="001B7F76"/>
    <w:rsid w:val="001C20A2"/>
    <w:rsid w:val="001C5B29"/>
    <w:rsid w:val="001E35FA"/>
    <w:rsid w:val="001F7F0D"/>
    <w:rsid w:val="00203E98"/>
    <w:rsid w:val="00234F55"/>
    <w:rsid w:val="00263668"/>
    <w:rsid w:val="002644D3"/>
    <w:rsid w:val="002661D0"/>
    <w:rsid w:val="0027784A"/>
    <w:rsid w:val="00280107"/>
    <w:rsid w:val="0029391F"/>
    <w:rsid w:val="002A39B7"/>
    <w:rsid w:val="002B0541"/>
    <w:rsid w:val="002F40B7"/>
    <w:rsid w:val="00305880"/>
    <w:rsid w:val="00307883"/>
    <w:rsid w:val="00321093"/>
    <w:rsid w:val="00380310"/>
    <w:rsid w:val="003A7335"/>
    <w:rsid w:val="003C7194"/>
    <w:rsid w:val="003D04EB"/>
    <w:rsid w:val="003E4F59"/>
    <w:rsid w:val="003F60CC"/>
    <w:rsid w:val="00421BA2"/>
    <w:rsid w:val="00453FE7"/>
    <w:rsid w:val="004A29B3"/>
    <w:rsid w:val="004B540B"/>
    <w:rsid w:val="004F087F"/>
    <w:rsid w:val="00504046"/>
    <w:rsid w:val="005112BB"/>
    <w:rsid w:val="00537BA2"/>
    <w:rsid w:val="005404A9"/>
    <w:rsid w:val="00551142"/>
    <w:rsid w:val="00551523"/>
    <w:rsid w:val="0056421C"/>
    <w:rsid w:val="0056491B"/>
    <w:rsid w:val="00574D4B"/>
    <w:rsid w:val="005B5BA2"/>
    <w:rsid w:val="005D16A8"/>
    <w:rsid w:val="005E7E2A"/>
    <w:rsid w:val="005F41A0"/>
    <w:rsid w:val="00647ED1"/>
    <w:rsid w:val="00654094"/>
    <w:rsid w:val="00660D5F"/>
    <w:rsid w:val="00662DE7"/>
    <w:rsid w:val="00665C36"/>
    <w:rsid w:val="00675A17"/>
    <w:rsid w:val="006853A8"/>
    <w:rsid w:val="006956F5"/>
    <w:rsid w:val="006B59BD"/>
    <w:rsid w:val="006B5D2D"/>
    <w:rsid w:val="00700DA9"/>
    <w:rsid w:val="007024D1"/>
    <w:rsid w:val="007028D5"/>
    <w:rsid w:val="00732680"/>
    <w:rsid w:val="0078556B"/>
    <w:rsid w:val="00792A42"/>
    <w:rsid w:val="007A7E3A"/>
    <w:rsid w:val="007C5495"/>
    <w:rsid w:val="007C7EAD"/>
    <w:rsid w:val="007F34CE"/>
    <w:rsid w:val="00821403"/>
    <w:rsid w:val="008458DA"/>
    <w:rsid w:val="00896420"/>
    <w:rsid w:val="008B043E"/>
    <w:rsid w:val="008D7248"/>
    <w:rsid w:val="008F0755"/>
    <w:rsid w:val="0090539B"/>
    <w:rsid w:val="00951334"/>
    <w:rsid w:val="009727AA"/>
    <w:rsid w:val="009888D7"/>
    <w:rsid w:val="009C4163"/>
    <w:rsid w:val="00A152F3"/>
    <w:rsid w:val="00A200B4"/>
    <w:rsid w:val="00A31C46"/>
    <w:rsid w:val="00A326CD"/>
    <w:rsid w:val="00A43DEB"/>
    <w:rsid w:val="00A52BD3"/>
    <w:rsid w:val="00A84181"/>
    <w:rsid w:val="00AA2997"/>
    <w:rsid w:val="00AB4F46"/>
    <w:rsid w:val="00B0469B"/>
    <w:rsid w:val="00B1106B"/>
    <w:rsid w:val="00B20EF0"/>
    <w:rsid w:val="00B2245C"/>
    <w:rsid w:val="00B2565C"/>
    <w:rsid w:val="00B470A5"/>
    <w:rsid w:val="00B52D4E"/>
    <w:rsid w:val="00B601DC"/>
    <w:rsid w:val="00B93C24"/>
    <w:rsid w:val="00BC419D"/>
    <w:rsid w:val="00BD7EDB"/>
    <w:rsid w:val="00BE2D76"/>
    <w:rsid w:val="00BE7262"/>
    <w:rsid w:val="00C1786F"/>
    <w:rsid w:val="00C47986"/>
    <w:rsid w:val="00C6172A"/>
    <w:rsid w:val="00C70B03"/>
    <w:rsid w:val="00C746F5"/>
    <w:rsid w:val="00C86113"/>
    <w:rsid w:val="00C90DF6"/>
    <w:rsid w:val="00CB3DC0"/>
    <w:rsid w:val="00CC24A1"/>
    <w:rsid w:val="00D05125"/>
    <w:rsid w:val="00D204EE"/>
    <w:rsid w:val="00D3745F"/>
    <w:rsid w:val="00D37CA5"/>
    <w:rsid w:val="00DC0A2F"/>
    <w:rsid w:val="00DC46B4"/>
    <w:rsid w:val="00DD3ABA"/>
    <w:rsid w:val="00DD59DE"/>
    <w:rsid w:val="00DD5B57"/>
    <w:rsid w:val="00E3529D"/>
    <w:rsid w:val="00E51C19"/>
    <w:rsid w:val="00E84290"/>
    <w:rsid w:val="00EA5291"/>
    <w:rsid w:val="00EB0F87"/>
    <w:rsid w:val="00EB575E"/>
    <w:rsid w:val="00EB6DD3"/>
    <w:rsid w:val="00EC2074"/>
    <w:rsid w:val="00EC2AD7"/>
    <w:rsid w:val="00EC7415"/>
    <w:rsid w:val="00ED6D80"/>
    <w:rsid w:val="00EF1E5A"/>
    <w:rsid w:val="00EF32E0"/>
    <w:rsid w:val="00F24914"/>
    <w:rsid w:val="00F43367"/>
    <w:rsid w:val="00F46DF3"/>
    <w:rsid w:val="00FA7ADD"/>
    <w:rsid w:val="00FF7324"/>
    <w:rsid w:val="0185CB1C"/>
    <w:rsid w:val="0299C99A"/>
    <w:rsid w:val="04BADCF2"/>
    <w:rsid w:val="05852731"/>
    <w:rsid w:val="0773EA53"/>
    <w:rsid w:val="07F30EA1"/>
    <w:rsid w:val="08AF7400"/>
    <w:rsid w:val="0925C923"/>
    <w:rsid w:val="0CD1736D"/>
    <w:rsid w:val="0D18A4B5"/>
    <w:rsid w:val="0D5FA9D6"/>
    <w:rsid w:val="104A21F4"/>
    <w:rsid w:val="104BDD1A"/>
    <w:rsid w:val="108C042A"/>
    <w:rsid w:val="1195A4F9"/>
    <w:rsid w:val="11C89BCD"/>
    <w:rsid w:val="12B7E8B0"/>
    <w:rsid w:val="1621A1CB"/>
    <w:rsid w:val="1AB1269D"/>
    <w:rsid w:val="1AF49398"/>
    <w:rsid w:val="1B017541"/>
    <w:rsid w:val="20DE4584"/>
    <w:rsid w:val="21E9DB89"/>
    <w:rsid w:val="2495B5AC"/>
    <w:rsid w:val="26EA541D"/>
    <w:rsid w:val="28A352D8"/>
    <w:rsid w:val="2A9EC1C8"/>
    <w:rsid w:val="2BF907DD"/>
    <w:rsid w:val="2CA52F1E"/>
    <w:rsid w:val="2E69F633"/>
    <w:rsid w:val="31170509"/>
    <w:rsid w:val="33C8EAE4"/>
    <w:rsid w:val="3A52DF6D"/>
    <w:rsid w:val="3E91B95E"/>
    <w:rsid w:val="4AE04A14"/>
    <w:rsid w:val="4D9771F2"/>
    <w:rsid w:val="503A082C"/>
    <w:rsid w:val="503A1A5E"/>
    <w:rsid w:val="5697008A"/>
    <w:rsid w:val="59DAC3AA"/>
    <w:rsid w:val="5EA231FC"/>
    <w:rsid w:val="60126CD1"/>
    <w:rsid w:val="684B6A14"/>
    <w:rsid w:val="6D057D64"/>
    <w:rsid w:val="6D4D4D11"/>
    <w:rsid w:val="6E28BD18"/>
    <w:rsid w:val="6E9D1FCC"/>
    <w:rsid w:val="7003D9A8"/>
    <w:rsid w:val="71837381"/>
    <w:rsid w:val="75B95B92"/>
    <w:rsid w:val="7975733E"/>
    <w:rsid w:val="7B535CF0"/>
    <w:rsid w:val="7C98D7E0"/>
    <w:rsid w:val="7F8A8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5F92"/>
  <w15:chartTrackingRefBased/>
  <w15:docId w15:val="{098373CA-2C0E-4F82-8EBD-B5437E713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ptos" w:hAnsi="Aptos" w:cs="Arial" w:eastAsiaTheme="minorHAnsi"/>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54516"/>
    <w:rPr>
      <w:rFonts w:eastAsia="Times New Roman"/>
      <w:b/>
      <w:sz w:val="40"/>
      <w:szCs w:val="40"/>
    </w:rPr>
  </w:style>
  <w:style w:type="character" w:styleId="Heading2Char" w:customStyle="1">
    <w:name w:val="Heading 2 Char"/>
    <w:basedOn w:val="DefaultParagraphFont"/>
    <w:link w:val="Heading2"/>
    <w:rsid w:val="00154516"/>
    <w:rPr>
      <w:rFonts w:eastAsia="Times New Roman"/>
      <w:b/>
      <w:sz w:val="36"/>
      <w:szCs w:val="36"/>
      <w:lang w:val="en-US"/>
    </w:rPr>
  </w:style>
  <w:style w:type="character" w:styleId="Heading3Char" w:customStyle="1">
    <w:name w:val="Heading 3 Char"/>
    <w:basedOn w:val="DefaultParagraphFont"/>
    <w:link w:val="Heading3"/>
    <w:rsid w:val="00662DE7"/>
    <w:rPr>
      <w:rFonts w:eastAsia="Times New Roman"/>
      <w:b/>
      <w:bCs/>
      <w:sz w:val="32"/>
      <w:szCs w:val="32"/>
    </w:rPr>
  </w:style>
  <w:style w:type="character" w:styleId="Heading4Char" w:customStyle="1">
    <w:name w:val="Heading 4 Char"/>
    <w:basedOn w:val="DefaultParagraphFont"/>
    <w:link w:val="Heading4"/>
    <w:uiPriority w:val="9"/>
    <w:rsid w:val="00154516"/>
    <w:rPr>
      <w:rFonts w:cs="Arial"/>
      <w:b/>
      <w:sz w:val="28"/>
      <w:szCs w:val="28"/>
    </w:rPr>
  </w:style>
  <w:style w:type="character" w:styleId="Heading5Char" w:customStyle="1">
    <w:name w:val="Heading 5 Char"/>
    <w:basedOn w:val="DefaultParagraphFont"/>
    <w:link w:val="Heading5"/>
    <w:uiPriority w:val="9"/>
    <w:rsid w:val="00154516"/>
    <w:rPr>
      <w:rFonts w:cs="Arial"/>
      <w:b/>
      <w:sz w:val="26"/>
    </w:rPr>
  </w:style>
  <w:style w:type="character" w:styleId="Heading6Char" w:customStyle="1">
    <w:name w:val="Heading 6 Char"/>
    <w:basedOn w:val="DefaultParagraphFont"/>
    <w:link w:val="Heading6"/>
    <w:uiPriority w:val="9"/>
    <w:rsid w:val="00154516"/>
    <w:rPr>
      <w:rFonts w:cs="Arial"/>
      <w:b/>
    </w:rPr>
  </w:style>
  <w:style w:type="character" w:styleId="Heading7Char" w:customStyle="1">
    <w:name w:val="Heading 7 Char"/>
    <w:basedOn w:val="DefaultParagraphFont"/>
    <w:link w:val="Heading7"/>
    <w:uiPriority w:val="9"/>
    <w:semiHidden/>
    <w:rsid w:val="0078556B"/>
    <w:rPr>
      <w:sz w:val="24"/>
      <w:szCs w:val="24"/>
    </w:rPr>
  </w:style>
  <w:style w:type="character" w:styleId="Heading8Char" w:customStyle="1">
    <w:name w:val="Heading 8 Char"/>
    <w:basedOn w:val="DefaultParagraphFont"/>
    <w:link w:val="Heading8"/>
    <w:uiPriority w:val="9"/>
    <w:semiHidden/>
    <w:rsid w:val="0078556B"/>
    <w:rPr>
      <w:i/>
      <w:iCs/>
      <w:sz w:val="24"/>
      <w:szCs w:val="24"/>
    </w:rPr>
  </w:style>
  <w:style w:type="character" w:styleId="Heading9Char" w:customStyle="1">
    <w:name w:val="Heading 9 Char"/>
    <w:basedOn w:val="DefaultParagraphFont"/>
    <w:link w:val="Heading9"/>
    <w:uiPriority w:val="9"/>
    <w:semiHidden/>
    <w:rsid w:val="0078556B"/>
    <w:rPr>
      <w:rFonts w:asciiTheme="majorHAnsi" w:hAnsiTheme="majorHAnsi" w:eastAsiaTheme="majorEastAsia"/>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styleId="TitleChar" w:customStyle="1">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styleId="SubtitleChar" w:customStyle="1">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styleId="QuoteChar" w:customStyle="1">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styleId="IntenseQuoteChar" w:customStyle="1">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307883"/>
    <w:rPr>
      <w:color w:val="0000FF" w:themeColor="hyperlink"/>
      <w:u w:val="single"/>
    </w:rPr>
  </w:style>
  <w:style w:type="character" w:styleId="UnresolvedMention">
    <w:name w:val="Unresolved Mention"/>
    <w:basedOn w:val="DefaultParagraphFont"/>
    <w:uiPriority w:val="99"/>
    <w:semiHidden/>
    <w:unhideWhenUsed/>
    <w:rsid w:val="00307883"/>
    <w:rPr>
      <w:color w:val="605E5C"/>
      <w:shd w:val="clear" w:color="auto" w:fill="E1DFDD"/>
    </w:rPr>
  </w:style>
  <w:style w:type="character" w:styleId="CommentReference">
    <w:name w:val="annotation reference"/>
    <w:basedOn w:val="DefaultParagraphFont"/>
    <w:uiPriority w:val="99"/>
    <w:semiHidden/>
    <w:unhideWhenUsed/>
    <w:rsid w:val="00537BA2"/>
    <w:rPr>
      <w:sz w:val="16"/>
      <w:szCs w:val="16"/>
    </w:rPr>
  </w:style>
  <w:style w:type="paragraph" w:styleId="CommentText">
    <w:name w:val="annotation text"/>
    <w:basedOn w:val="Normal"/>
    <w:link w:val="CommentTextChar"/>
    <w:uiPriority w:val="99"/>
    <w:unhideWhenUsed/>
    <w:rsid w:val="00537BA2"/>
    <w:rPr>
      <w:sz w:val="20"/>
      <w:szCs w:val="20"/>
    </w:rPr>
  </w:style>
  <w:style w:type="character" w:styleId="CommentTextChar" w:customStyle="1">
    <w:name w:val="Comment Text Char"/>
    <w:basedOn w:val="DefaultParagraphFont"/>
    <w:link w:val="CommentText"/>
    <w:uiPriority w:val="99"/>
    <w:rsid w:val="00537BA2"/>
    <w:rPr>
      <w:sz w:val="20"/>
      <w:szCs w:val="20"/>
    </w:rPr>
  </w:style>
  <w:style w:type="paragraph" w:styleId="CommentSubject">
    <w:name w:val="annotation subject"/>
    <w:basedOn w:val="CommentText"/>
    <w:next w:val="CommentText"/>
    <w:link w:val="CommentSubjectChar"/>
    <w:uiPriority w:val="99"/>
    <w:semiHidden/>
    <w:unhideWhenUsed/>
    <w:rsid w:val="00537BA2"/>
    <w:rPr>
      <w:b/>
      <w:bCs/>
    </w:rPr>
  </w:style>
  <w:style w:type="character" w:styleId="CommentSubjectChar" w:customStyle="1">
    <w:name w:val="Comment Subject Char"/>
    <w:basedOn w:val="CommentTextChar"/>
    <w:link w:val="CommentSubject"/>
    <w:uiPriority w:val="99"/>
    <w:semiHidden/>
    <w:rsid w:val="00537BA2"/>
    <w:rPr>
      <w:b/>
      <w:bCs/>
      <w:sz w:val="20"/>
      <w:szCs w:val="20"/>
    </w:rPr>
  </w:style>
  <w:style w:type="character" w:styleId="FollowedHyperlink">
    <w:name w:val="FollowedHyperlink"/>
    <w:basedOn w:val="DefaultParagraphFont"/>
    <w:uiPriority w:val="99"/>
    <w:semiHidden/>
    <w:unhideWhenUsed/>
    <w:rsid w:val="00B20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9808">
      <w:bodyDiv w:val="1"/>
      <w:marLeft w:val="0"/>
      <w:marRight w:val="0"/>
      <w:marTop w:val="0"/>
      <w:marBottom w:val="0"/>
      <w:divBdr>
        <w:top w:val="none" w:sz="0" w:space="0" w:color="auto"/>
        <w:left w:val="none" w:sz="0" w:space="0" w:color="auto"/>
        <w:bottom w:val="none" w:sz="0" w:space="0" w:color="auto"/>
        <w:right w:val="none" w:sz="0" w:space="0" w:color="auto"/>
      </w:divBdr>
    </w:div>
    <w:div w:id="67117703">
      <w:bodyDiv w:val="1"/>
      <w:marLeft w:val="0"/>
      <w:marRight w:val="0"/>
      <w:marTop w:val="0"/>
      <w:marBottom w:val="0"/>
      <w:divBdr>
        <w:top w:val="none" w:sz="0" w:space="0" w:color="auto"/>
        <w:left w:val="none" w:sz="0" w:space="0" w:color="auto"/>
        <w:bottom w:val="none" w:sz="0" w:space="0" w:color="auto"/>
        <w:right w:val="none" w:sz="0" w:space="0" w:color="auto"/>
      </w:divBdr>
    </w:div>
    <w:div w:id="76901720">
      <w:bodyDiv w:val="1"/>
      <w:marLeft w:val="0"/>
      <w:marRight w:val="0"/>
      <w:marTop w:val="0"/>
      <w:marBottom w:val="0"/>
      <w:divBdr>
        <w:top w:val="none" w:sz="0" w:space="0" w:color="auto"/>
        <w:left w:val="none" w:sz="0" w:space="0" w:color="auto"/>
        <w:bottom w:val="none" w:sz="0" w:space="0" w:color="auto"/>
        <w:right w:val="none" w:sz="0" w:space="0" w:color="auto"/>
      </w:divBdr>
    </w:div>
    <w:div w:id="123430822">
      <w:bodyDiv w:val="1"/>
      <w:marLeft w:val="0"/>
      <w:marRight w:val="0"/>
      <w:marTop w:val="0"/>
      <w:marBottom w:val="0"/>
      <w:divBdr>
        <w:top w:val="none" w:sz="0" w:space="0" w:color="auto"/>
        <w:left w:val="none" w:sz="0" w:space="0" w:color="auto"/>
        <w:bottom w:val="none" w:sz="0" w:space="0" w:color="auto"/>
        <w:right w:val="none" w:sz="0" w:space="0" w:color="auto"/>
      </w:divBdr>
    </w:div>
    <w:div w:id="245001187">
      <w:bodyDiv w:val="1"/>
      <w:marLeft w:val="0"/>
      <w:marRight w:val="0"/>
      <w:marTop w:val="0"/>
      <w:marBottom w:val="0"/>
      <w:divBdr>
        <w:top w:val="none" w:sz="0" w:space="0" w:color="auto"/>
        <w:left w:val="none" w:sz="0" w:space="0" w:color="auto"/>
        <w:bottom w:val="none" w:sz="0" w:space="0" w:color="auto"/>
        <w:right w:val="none" w:sz="0" w:space="0" w:color="auto"/>
      </w:divBdr>
    </w:div>
    <w:div w:id="359361577">
      <w:bodyDiv w:val="1"/>
      <w:marLeft w:val="0"/>
      <w:marRight w:val="0"/>
      <w:marTop w:val="0"/>
      <w:marBottom w:val="0"/>
      <w:divBdr>
        <w:top w:val="none" w:sz="0" w:space="0" w:color="auto"/>
        <w:left w:val="none" w:sz="0" w:space="0" w:color="auto"/>
        <w:bottom w:val="none" w:sz="0" w:space="0" w:color="auto"/>
        <w:right w:val="none" w:sz="0" w:space="0" w:color="auto"/>
      </w:divBdr>
    </w:div>
    <w:div w:id="370229830">
      <w:bodyDiv w:val="1"/>
      <w:marLeft w:val="0"/>
      <w:marRight w:val="0"/>
      <w:marTop w:val="0"/>
      <w:marBottom w:val="0"/>
      <w:divBdr>
        <w:top w:val="none" w:sz="0" w:space="0" w:color="auto"/>
        <w:left w:val="none" w:sz="0" w:space="0" w:color="auto"/>
        <w:bottom w:val="none" w:sz="0" w:space="0" w:color="auto"/>
        <w:right w:val="none" w:sz="0" w:space="0" w:color="auto"/>
      </w:divBdr>
    </w:div>
    <w:div w:id="376126273">
      <w:bodyDiv w:val="1"/>
      <w:marLeft w:val="0"/>
      <w:marRight w:val="0"/>
      <w:marTop w:val="0"/>
      <w:marBottom w:val="0"/>
      <w:divBdr>
        <w:top w:val="none" w:sz="0" w:space="0" w:color="auto"/>
        <w:left w:val="none" w:sz="0" w:space="0" w:color="auto"/>
        <w:bottom w:val="none" w:sz="0" w:space="0" w:color="auto"/>
        <w:right w:val="none" w:sz="0" w:space="0" w:color="auto"/>
      </w:divBdr>
    </w:div>
    <w:div w:id="526018811">
      <w:bodyDiv w:val="1"/>
      <w:marLeft w:val="0"/>
      <w:marRight w:val="0"/>
      <w:marTop w:val="0"/>
      <w:marBottom w:val="0"/>
      <w:divBdr>
        <w:top w:val="none" w:sz="0" w:space="0" w:color="auto"/>
        <w:left w:val="none" w:sz="0" w:space="0" w:color="auto"/>
        <w:bottom w:val="none" w:sz="0" w:space="0" w:color="auto"/>
        <w:right w:val="none" w:sz="0" w:space="0" w:color="auto"/>
      </w:divBdr>
    </w:div>
    <w:div w:id="535653656">
      <w:bodyDiv w:val="1"/>
      <w:marLeft w:val="0"/>
      <w:marRight w:val="0"/>
      <w:marTop w:val="0"/>
      <w:marBottom w:val="0"/>
      <w:divBdr>
        <w:top w:val="none" w:sz="0" w:space="0" w:color="auto"/>
        <w:left w:val="none" w:sz="0" w:space="0" w:color="auto"/>
        <w:bottom w:val="none" w:sz="0" w:space="0" w:color="auto"/>
        <w:right w:val="none" w:sz="0" w:space="0" w:color="auto"/>
      </w:divBdr>
    </w:div>
    <w:div w:id="568731436">
      <w:bodyDiv w:val="1"/>
      <w:marLeft w:val="0"/>
      <w:marRight w:val="0"/>
      <w:marTop w:val="0"/>
      <w:marBottom w:val="0"/>
      <w:divBdr>
        <w:top w:val="none" w:sz="0" w:space="0" w:color="auto"/>
        <w:left w:val="none" w:sz="0" w:space="0" w:color="auto"/>
        <w:bottom w:val="none" w:sz="0" w:space="0" w:color="auto"/>
        <w:right w:val="none" w:sz="0" w:space="0" w:color="auto"/>
      </w:divBdr>
    </w:div>
    <w:div w:id="633370180">
      <w:bodyDiv w:val="1"/>
      <w:marLeft w:val="0"/>
      <w:marRight w:val="0"/>
      <w:marTop w:val="0"/>
      <w:marBottom w:val="0"/>
      <w:divBdr>
        <w:top w:val="none" w:sz="0" w:space="0" w:color="auto"/>
        <w:left w:val="none" w:sz="0" w:space="0" w:color="auto"/>
        <w:bottom w:val="none" w:sz="0" w:space="0" w:color="auto"/>
        <w:right w:val="none" w:sz="0" w:space="0" w:color="auto"/>
      </w:divBdr>
      <w:divsChild>
        <w:div w:id="9719704">
          <w:marLeft w:val="0"/>
          <w:marRight w:val="0"/>
          <w:marTop w:val="0"/>
          <w:marBottom w:val="0"/>
          <w:divBdr>
            <w:top w:val="none" w:sz="0" w:space="0" w:color="auto"/>
            <w:left w:val="none" w:sz="0" w:space="0" w:color="auto"/>
            <w:bottom w:val="none" w:sz="0" w:space="0" w:color="auto"/>
            <w:right w:val="none" w:sz="0" w:space="0" w:color="auto"/>
          </w:divBdr>
          <w:divsChild>
            <w:div w:id="1954676816">
              <w:marLeft w:val="0"/>
              <w:marRight w:val="0"/>
              <w:marTop w:val="0"/>
              <w:marBottom w:val="0"/>
              <w:divBdr>
                <w:top w:val="none" w:sz="0" w:space="0" w:color="auto"/>
                <w:left w:val="none" w:sz="0" w:space="0" w:color="auto"/>
                <w:bottom w:val="none" w:sz="0" w:space="0" w:color="auto"/>
                <w:right w:val="none" w:sz="0" w:space="0" w:color="auto"/>
              </w:divBdr>
              <w:divsChild>
                <w:div w:id="1312371525">
                  <w:marLeft w:val="0"/>
                  <w:marRight w:val="0"/>
                  <w:marTop w:val="0"/>
                  <w:marBottom w:val="0"/>
                  <w:divBdr>
                    <w:top w:val="none" w:sz="0" w:space="0" w:color="auto"/>
                    <w:left w:val="none" w:sz="0" w:space="0" w:color="auto"/>
                    <w:bottom w:val="none" w:sz="0" w:space="0" w:color="auto"/>
                    <w:right w:val="none" w:sz="0" w:space="0" w:color="auto"/>
                  </w:divBdr>
                  <w:divsChild>
                    <w:div w:id="16828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1478">
      <w:bodyDiv w:val="1"/>
      <w:marLeft w:val="0"/>
      <w:marRight w:val="0"/>
      <w:marTop w:val="0"/>
      <w:marBottom w:val="0"/>
      <w:divBdr>
        <w:top w:val="none" w:sz="0" w:space="0" w:color="auto"/>
        <w:left w:val="none" w:sz="0" w:space="0" w:color="auto"/>
        <w:bottom w:val="none" w:sz="0" w:space="0" w:color="auto"/>
        <w:right w:val="none" w:sz="0" w:space="0" w:color="auto"/>
      </w:divBdr>
    </w:div>
    <w:div w:id="738526601">
      <w:bodyDiv w:val="1"/>
      <w:marLeft w:val="0"/>
      <w:marRight w:val="0"/>
      <w:marTop w:val="0"/>
      <w:marBottom w:val="0"/>
      <w:divBdr>
        <w:top w:val="none" w:sz="0" w:space="0" w:color="auto"/>
        <w:left w:val="none" w:sz="0" w:space="0" w:color="auto"/>
        <w:bottom w:val="none" w:sz="0" w:space="0" w:color="auto"/>
        <w:right w:val="none" w:sz="0" w:space="0" w:color="auto"/>
      </w:divBdr>
    </w:div>
    <w:div w:id="770276985">
      <w:bodyDiv w:val="1"/>
      <w:marLeft w:val="0"/>
      <w:marRight w:val="0"/>
      <w:marTop w:val="0"/>
      <w:marBottom w:val="0"/>
      <w:divBdr>
        <w:top w:val="none" w:sz="0" w:space="0" w:color="auto"/>
        <w:left w:val="none" w:sz="0" w:space="0" w:color="auto"/>
        <w:bottom w:val="none" w:sz="0" w:space="0" w:color="auto"/>
        <w:right w:val="none" w:sz="0" w:space="0" w:color="auto"/>
      </w:divBdr>
    </w:div>
    <w:div w:id="838934609">
      <w:bodyDiv w:val="1"/>
      <w:marLeft w:val="0"/>
      <w:marRight w:val="0"/>
      <w:marTop w:val="0"/>
      <w:marBottom w:val="0"/>
      <w:divBdr>
        <w:top w:val="none" w:sz="0" w:space="0" w:color="auto"/>
        <w:left w:val="none" w:sz="0" w:space="0" w:color="auto"/>
        <w:bottom w:val="none" w:sz="0" w:space="0" w:color="auto"/>
        <w:right w:val="none" w:sz="0" w:space="0" w:color="auto"/>
      </w:divBdr>
    </w:div>
    <w:div w:id="864177661">
      <w:bodyDiv w:val="1"/>
      <w:marLeft w:val="0"/>
      <w:marRight w:val="0"/>
      <w:marTop w:val="0"/>
      <w:marBottom w:val="0"/>
      <w:divBdr>
        <w:top w:val="none" w:sz="0" w:space="0" w:color="auto"/>
        <w:left w:val="none" w:sz="0" w:space="0" w:color="auto"/>
        <w:bottom w:val="none" w:sz="0" w:space="0" w:color="auto"/>
        <w:right w:val="none" w:sz="0" w:space="0" w:color="auto"/>
      </w:divBdr>
    </w:div>
    <w:div w:id="887573123">
      <w:bodyDiv w:val="1"/>
      <w:marLeft w:val="0"/>
      <w:marRight w:val="0"/>
      <w:marTop w:val="0"/>
      <w:marBottom w:val="0"/>
      <w:divBdr>
        <w:top w:val="none" w:sz="0" w:space="0" w:color="auto"/>
        <w:left w:val="none" w:sz="0" w:space="0" w:color="auto"/>
        <w:bottom w:val="none" w:sz="0" w:space="0" w:color="auto"/>
        <w:right w:val="none" w:sz="0" w:space="0" w:color="auto"/>
      </w:divBdr>
    </w:div>
    <w:div w:id="891505895">
      <w:bodyDiv w:val="1"/>
      <w:marLeft w:val="0"/>
      <w:marRight w:val="0"/>
      <w:marTop w:val="0"/>
      <w:marBottom w:val="0"/>
      <w:divBdr>
        <w:top w:val="none" w:sz="0" w:space="0" w:color="auto"/>
        <w:left w:val="none" w:sz="0" w:space="0" w:color="auto"/>
        <w:bottom w:val="none" w:sz="0" w:space="0" w:color="auto"/>
        <w:right w:val="none" w:sz="0" w:space="0" w:color="auto"/>
      </w:divBdr>
    </w:div>
    <w:div w:id="897010456">
      <w:bodyDiv w:val="1"/>
      <w:marLeft w:val="0"/>
      <w:marRight w:val="0"/>
      <w:marTop w:val="0"/>
      <w:marBottom w:val="0"/>
      <w:divBdr>
        <w:top w:val="none" w:sz="0" w:space="0" w:color="auto"/>
        <w:left w:val="none" w:sz="0" w:space="0" w:color="auto"/>
        <w:bottom w:val="none" w:sz="0" w:space="0" w:color="auto"/>
        <w:right w:val="none" w:sz="0" w:space="0" w:color="auto"/>
      </w:divBdr>
    </w:div>
    <w:div w:id="904874111">
      <w:bodyDiv w:val="1"/>
      <w:marLeft w:val="0"/>
      <w:marRight w:val="0"/>
      <w:marTop w:val="0"/>
      <w:marBottom w:val="0"/>
      <w:divBdr>
        <w:top w:val="none" w:sz="0" w:space="0" w:color="auto"/>
        <w:left w:val="none" w:sz="0" w:space="0" w:color="auto"/>
        <w:bottom w:val="none" w:sz="0" w:space="0" w:color="auto"/>
        <w:right w:val="none" w:sz="0" w:space="0" w:color="auto"/>
      </w:divBdr>
    </w:div>
    <w:div w:id="1032417467">
      <w:bodyDiv w:val="1"/>
      <w:marLeft w:val="0"/>
      <w:marRight w:val="0"/>
      <w:marTop w:val="0"/>
      <w:marBottom w:val="0"/>
      <w:divBdr>
        <w:top w:val="none" w:sz="0" w:space="0" w:color="auto"/>
        <w:left w:val="none" w:sz="0" w:space="0" w:color="auto"/>
        <w:bottom w:val="none" w:sz="0" w:space="0" w:color="auto"/>
        <w:right w:val="none" w:sz="0" w:space="0" w:color="auto"/>
      </w:divBdr>
    </w:div>
    <w:div w:id="1077168522">
      <w:bodyDiv w:val="1"/>
      <w:marLeft w:val="0"/>
      <w:marRight w:val="0"/>
      <w:marTop w:val="0"/>
      <w:marBottom w:val="0"/>
      <w:divBdr>
        <w:top w:val="none" w:sz="0" w:space="0" w:color="auto"/>
        <w:left w:val="none" w:sz="0" w:space="0" w:color="auto"/>
        <w:bottom w:val="none" w:sz="0" w:space="0" w:color="auto"/>
        <w:right w:val="none" w:sz="0" w:space="0" w:color="auto"/>
      </w:divBdr>
    </w:div>
    <w:div w:id="1153571676">
      <w:bodyDiv w:val="1"/>
      <w:marLeft w:val="0"/>
      <w:marRight w:val="0"/>
      <w:marTop w:val="0"/>
      <w:marBottom w:val="0"/>
      <w:divBdr>
        <w:top w:val="none" w:sz="0" w:space="0" w:color="auto"/>
        <w:left w:val="none" w:sz="0" w:space="0" w:color="auto"/>
        <w:bottom w:val="none" w:sz="0" w:space="0" w:color="auto"/>
        <w:right w:val="none" w:sz="0" w:space="0" w:color="auto"/>
      </w:divBdr>
    </w:div>
    <w:div w:id="1371996834">
      <w:bodyDiv w:val="1"/>
      <w:marLeft w:val="0"/>
      <w:marRight w:val="0"/>
      <w:marTop w:val="0"/>
      <w:marBottom w:val="0"/>
      <w:divBdr>
        <w:top w:val="none" w:sz="0" w:space="0" w:color="auto"/>
        <w:left w:val="none" w:sz="0" w:space="0" w:color="auto"/>
        <w:bottom w:val="none" w:sz="0" w:space="0" w:color="auto"/>
        <w:right w:val="none" w:sz="0" w:space="0" w:color="auto"/>
      </w:divBdr>
    </w:div>
    <w:div w:id="1463502683">
      <w:bodyDiv w:val="1"/>
      <w:marLeft w:val="0"/>
      <w:marRight w:val="0"/>
      <w:marTop w:val="0"/>
      <w:marBottom w:val="0"/>
      <w:divBdr>
        <w:top w:val="none" w:sz="0" w:space="0" w:color="auto"/>
        <w:left w:val="none" w:sz="0" w:space="0" w:color="auto"/>
        <w:bottom w:val="none" w:sz="0" w:space="0" w:color="auto"/>
        <w:right w:val="none" w:sz="0" w:space="0" w:color="auto"/>
      </w:divBdr>
      <w:divsChild>
        <w:div w:id="872159336">
          <w:marLeft w:val="0"/>
          <w:marRight w:val="0"/>
          <w:marTop w:val="0"/>
          <w:marBottom w:val="0"/>
          <w:divBdr>
            <w:top w:val="none" w:sz="0" w:space="0" w:color="auto"/>
            <w:left w:val="none" w:sz="0" w:space="0" w:color="auto"/>
            <w:bottom w:val="none" w:sz="0" w:space="0" w:color="auto"/>
            <w:right w:val="none" w:sz="0" w:space="0" w:color="auto"/>
          </w:divBdr>
          <w:divsChild>
            <w:div w:id="2130512274">
              <w:marLeft w:val="0"/>
              <w:marRight w:val="0"/>
              <w:marTop w:val="0"/>
              <w:marBottom w:val="0"/>
              <w:divBdr>
                <w:top w:val="none" w:sz="0" w:space="0" w:color="auto"/>
                <w:left w:val="none" w:sz="0" w:space="0" w:color="auto"/>
                <w:bottom w:val="none" w:sz="0" w:space="0" w:color="auto"/>
                <w:right w:val="none" w:sz="0" w:space="0" w:color="auto"/>
              </w:divBdr>
              <w:divsChild>
                <w:div w:id="1113524344">
                  <w:marLeft w:val="0"/>
                  <w:marRight w:val="0"/>
                  <w:marTop w:val="0"/>
                  <w:marBottom w:val="0"/>
                  <w:divBdr>
                    <w:top w:val="none" w:sz="0" w:space="0" w:color="auto"/>
                    <w:left w:val="none" w:sz="0" w:space="0" w:color="auto"/>
                    <w:bottom w:val="none" w:sz="0" w:space="0" w:color="auto"/>
                    <w:right w:val="none" w:sz="0" w:space="0" w:color="auto"/>
                  </w:divBdr>
                  <w:divsChild>
                    <w:div w:id="1792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7325">
      <w:bodyDiv w:val="1"/>
      <w:marLeft w:val="0"/>
      <w:marRight w:val="0"/>
      <w:marTop w:val="0"/>
      <w:marBottom w:val="0"/>
      <w:divBdr>
        <w:top w:val="none" w:sz="0" w:space="0" w:color="auto"/>
        <w:left w:val="none" w:sz="0" w:space="0" w:color="auto"/>
        <w:bottom w:val="none" w:sz="0" w:space="0" w:color="auto"/>
        <w:right w:val="none" w:sz="0" w:space="0" w:color="auto"/>
      </w:divBdr>
    </w:div>
    <w:div w:id="1522667754">
      <w:bodyDiv w:val="1"/>
      <w:marLeft w:val="0"/>
      <w:marRight w:val="0"/>
      <w:marTop w:val="0"/>
      <w:marBottom w:val="0"/>
      <w:divBdr>
        <w:top w:val="none" w:sz="0" w:space="0" w:color="auto"/>
        <w:left w:val="none" w:sz="0" w:space="0" w:color="auto"/>
        <w:bottom w:val="none" w:sz="0" w:space="0" w:color="auto"/>
        <w:right w:val="none" w:sz="0" w:space="0" w:color="auto"/>
      </w:divBdr>
    </w:div>
    <w:div w:id="1523587282">
      <w:bodyDiv w:val="1"/>
      <w:marLeft w:val="0"/>
      <w:marRight w:val="0"/>
      <w:marTop w:val="0"/>
      <w:marBottom w:val="0"/>
      <w:divBdr>
        <w:top w:val="none" w:sz="0" w:space="0" w:color="auto"/>
        <w:left w:val="none" w:sz="0" w:space="0" w:color="auto"/>
        <w:bottom w:val="none" w:sz="0" w:space="0" w:color="auto"/>
        <w:right w:val="none" w:sz="0" w:space="0" w:color="auto"/>
      </w:divBdr>
    </w:div>
    <w:div w:id="1578902445">
      <w:bodyDiv w:val="1"/>
      <w:marLeft w:val="0"/>
      <w:marRight w:val="0"/>
      <w:marTop w:val="0"/>
      <w:marBottom w:val="0"/>
      <w:divBdr>
        <w:top w:val="none" w:sz="0" w:space="0" w:color="auto"/>
        <w:left w:val="none" w:sz="0" w:space="0" w:color="auto"/>
        <w:bottom w:val="none" w:sz="0" w:space="0" w:color="auto"/>
        <w:right w:val="none" w:sz="0" w:space="0" w:color="auto"/>
      </w:divBdr>
    </w:div>
    <w:div w:id="1754204320">
      <w:bodyDiv w:val="1"/>
      <w:marLeft w:val="0"/>
      <w:marRight w:val="0"/>
      <w:marTop w:val="0"/>
      <w:marBottom w:val="0"/>
      <w:divBdr>
        <w:top w:val="none" w:sz="0" w:space="0" w:color="auto"/>
        <w:left w:val="none" w:sz="0" w:space="0" w:color="auto"/>
        <w:bottom w:val="none" w:sz="0" w:space="0" w:color="auto"/>
        <w:right w:val="none" w:sz="0" w:space="0" w:color="auto"/>
      </w:divBdr>
    </w:div>
    <w:div w:id="1964844596">
      <w:bodyDiv w:val="1"/>
      <w:marLeft w:val="0"/>
      <w:marRight w:val="0"/>
      <w:marTop w:val="0"/>
      <w:marBottom w:val="0"/>
      <w:divBdr>
        <w:top w:val="none" w:sz="0" w:space="0" w:color="auto"/>
        <w:left w:val="none" w:sz="0" w:space="0" w:color="auto"/>
        <w:bottom w:val="none" w:sz="0" w:space="0" w:color="auto"/>
        <w:right w:val="none" w:sz="0" w:space="0" w:color="auto"/>
      </w:divBdr>
    </w:div>
    <w:div w:id="1991639071">
      <w:bodyDiv w:val="1"/>
      <w:marLeft w:val="0"/>
      <w:marRight w:val="0"/>
      <w:marTop w:val="0"/>
      <w:marBottom w:val="0"/>
      <w:divBdr>
        <w:top w:val="none" w:sz="0" w:space="0" w:color="auto"/>
        <w:left w:val="none" w:sz="0" w:space="0" w:color="auto"/>
        <w:bottom w:val="none" w:sz="0" w:space="0" w:color="auto"/>
        <w:right w:val="none" w:sz="0" w:space="0" w:color="auto"/>
      </w:divBdr>
    </w:div>
    <w:div w:id="2000302220">
      <w:bodyDiv w:val="1"/>
      <w:marLeft w:val="0"/>
      <w:marRight w:val="0"/>
      <w:marTop w:val="0"/>
      <w:marBottom w:val="0"/>
      <w:divBdr>
        <w:top w:val="none" w:sz="0" w:space="0" w:color="auto"/>
        <w:left w:val="none" w:sz="0" w:space="0" w:color="auto"/>
        <w:bottom w:val="none" w:sz="0" w:space="0" w:color="auto"/>
        <w:right w:val="none" w:sz="0" w:space="0" w:color="auto"/>
      </w:divBdr>
    </w:div>
    <w:div w:id="2022538080">
      <w:bodyDiv w:val="1"/>
      <w:marLeft w:val="0"/>
      <w:marRight w:val="0"/>
      <w:marTop w:val="0"/>
      <w:marBottom w:val="0"/>
      <w:divBdr>
        <w:top w:val="none" w:sz="0" w:space="0" w:color="auto"/>
        <w:left w:val="none" w:sz="0" w:space="0" w:color="auto"/>
        <w:bottom w:val="none" w:sz="0" w:space="0" w:color="auto"/>
        <w:right w:val="none" w:sz="0" w:space="0" w:color="auto"/>
      </w:divBdr>
    </w:div>
    <w:div w:id="2045593795">
      <w:bodyDiv w:val="1"/>
      <w:marLeft w:val="0"/>
      <w:marRight w:val="0"/>
      <w:marTop w:val="0"/>
      <w:marBottom w:val="0"/>
      <w:divBdr>
        <w:top w:val="none" w:sz="0" w:space="0" w:color="auto"/>
        <w:left w:val="none" w:sz="0" w:space="0" w:color="auto"/>
        <w:bottom w:val="none" w:sz="0" w:space="0" w:color="auto"/>
        <w:right w:val="none" w:sz="0" w:space="0" w:color="auto"/>
      </w:divBdr>
    </w:div>
    <w:div w:id="2085758873">
      <w:bodyDiv w:val="1"/>
      <w:marLeft w:val="0"/>
      <w:marRight w:val="0"/>
      <w:marTop w:val="0"/>
      <w:marBottom w:val="0"/>
      <w:divBdr>
        <w:top w:val="none" w:sz="0" w:space="0" w:color="auto"/>
        <w:left w:val="none" w:sz="0" w:space="0" w:color="auto"/>
        <w:bottom w:val="none" w:sz="0" w:space="0" w:color="auto"/>
        <w:right w:val="none" w:sz="0" w:space="0" w:color="auto"/>
      </w:divBdr>
    </w:div>
    <w:div w:id="2091582792">
      <w:bodyDiv w:val="1"/>
      <w:marLeft w:val="0"/>
      <w:marRight w:val="0"/>
      <w:marTop w:val="0"/>
      <w:marBottom w:val="0"/>
      <w:divBdr>
        <w:top w:val="none" w:sz="0" w:space="0" w:color="auto"/>
        <w:left w:val="none" w:sz="0" w:space="0" w:color="auto"/>
        <w:bottom w:val="none" w:sz="0" w:space="0" w:color="auto"/>
        <w:right w:val="none" w:sz="0" w:space="0" w:color="auto"/>
      </w:divBdr>
    </w:div>
    <w:div w:id="2104254640">
      <w:bodyDiv w:val="1"/>
      <w:marLeft w:val="0"/>
      <w:marRight w:val="0"/>
      <w:marTop w:val="0"/>
      <w:marBottom w:val="0"/>
      <w:divBdr>
        <w:top w:val="none" w:sz="0" w:space="0" w:color="auto"/>
        <w:left w:val="none" w:sz="0" w:space="0" w:color="auto"/>
        <w:bottom w:val="none" w:sz="0" w:space="0" w:color="auto"/>
        <w:right w:val="none" w:sz="0" w:space="0" w:color="auto"/>
      </w:divBdr>
    </w:div>
    <w:div w:id="21362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advocacy@visionaustralia.org" TargetMode="External" Id="rId9" /><Relationship Type="http://schemas.openxmlformats.org/officeDocument/2006/relationships/customXml" Target="../customXml/item3.xml" Id="rId14" /><Relationship Type="http://schemas.openxmlformats.org/officeDocument/2006/relationships/hyperlink" Target="https://www.humanservices.gov.au/sites/default/files/documents/sa013-1403en.pdf" TargetMode="External" Id="Re9de53fe405b4ec2" /><Relationship Type="http://schemas.openxmlformats.org/officeDocument/2006/relationships/hyperlink" Target="https://www.servicesaustralia.gov.au/sa002" TargetMode="External" Id="R1bf22e8331e94fe9" /><Relationship Type="http://schemas.openxmlformats.org/officeDocument/2006/relationships/hyperlink" Target="https://findus.servicesaustralia.gov.au/" TargetMode="External" Id="R73a88122f50a41cd" /><Relationship Type="http://schemas.openxmlformats.org/officeDocument/2006/relationships/hyperlink" Target="tel:132300" TargetMode="External" Id="Rc395d54490d942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1EB61-153B-42D5-85A1-7716AEED95A6}"/>
</file>

<file path=customXml/itemProps2.xml><?xml version="1.0" encoding="utf-8"?>
<ds:datastoreItem xmlns:ds="http://schemas.openxmlformats.org/officeDocument/2006/customXml" ds:itemID="{CF266FF6-DFC9-454B-9762-1480CCB8E8B4}"/>
</file>

<file path=customXml/itemProps3.xml><?xml version="1.0" encoding="utf-8"?>
<ds:datastoreItem xmlns:ds="http://schemas.openxmlformats.org/officeDocument/2006/customXml" ds:itemID="{95E320F4-D307-4DC3-A558-8C7F2250E91B}"/>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Vision Australia</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2024-10-28T01:50:00Z</dcterms:created>
  <dcterms:modified xsi:type="dcterms:W3CDTF">2025-01-29T01:50:47Z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