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54FD8" w14:textId="7821F28E" w:rsidR="00E05A2A" w:rsidRPr="00E05A2A" w:rsidRDefault="00E05A2A" w:rsidP="00E05A2A">
      <w:pPr>
        <w:pStyle w:val="Heading1"/>
      </w:pPr>
      <w:r>
        <w:t>Wellbeing, Health and Safety Policy</w:t>
      </w:r>
    </w:p>
    <w:p w14:paraId="2744EBD6" w14:textId="77777777" w:rsidR="00E05A2A" w:rsidRPr="00D943F4" w:rsidRDefault="00E05A2A" w:rsidP="00E05A2A">
      <w:pPr>
        <w:pStyle w:val="Heading2"/>
      </w:pPr>
      <w:r w:rsidRPr="00D943F4">
        <w:t>Introduction</w:t>
      </w:r>
    </w:p>
    <w:p w14:paraId="1A182678" w14:textId="65413480" w:rsidR="00E05A2A" w:rsidRPr="004E053C" w:rsidRDefault="00E05A2A" w:rsidP="00E05A2A">
      <w:bookmarkStart w:id="0" w:name="_Toc421013457"/>
      <w:bookmarkStart w:id="1" w:name="_Toc421013458"/>
      <w:bookmarkStart w:id="2" w:name="_Toc421013460"/>
      <w:bookmarkStart w:id="3" w:name="_Toc421013459"/>
      <w:r>
        <w:t xml:space="preserve">The Wellbeing, Health and Safety Policy outlines Vision Australia’s commitment to </w:t>
      </w:r>
      <w:bookmarkStart w:id="4" w:name="_Hlk113610668"/>
      <w:r>
        <w:t>support, promote and protect the health, safety and wellbeing of all workforce members, clients and visitors.</w:t>
      </w:r>
    </w:p>
    <w:p w14:paraId="2B888623" w14:textId="77777777" w:rsidR="00E05A2A" w:rsidRDefault="00E05A2A" w:rsidP="00E05A2A">
      <w:pPr>
        <w:rPr>
          <w:b/>
          <w:bCs/>
        </w:rPr>
      </w:pPr>
      <w:bookmarkStart w:id="5" w:name="_Hlk113610960"/>
      <w:bookmarkEnd w:id="4"/>
      <w:r>
        <w:t xml:space="preserve">This commitment aims is to use an integrated approach to build a stronger safety culture, reduce harm and promote positive wellbeing to create a thriving workforce. </w:t>
      </w:r>
    </w:p>
    <w:bookmarkEnd w:id="5"/>
    <w:p w14:paraId="2F8EBD90" w14:textId="77777777" w:rsidR="00E05A2A" w:rsidRPr="00891B95" w:rsidRDefault="00E05A2A" w:rsidP="00E05A2A">
      <w:pPr>
        <w:pStyle w:val="Heading2"/>
      </w:pPr>
      <w:r w:rsidRPr="00891B95">
        <w:t>About this policy</w:t>
      </w:r>
      <w:bookmarkEnd w:id="0"/>
    </w:p>
    <w:p w14:paraId="120B16C8" w14:textId="77777777" w:rsidR="00E05A2A" w:rsidRPr="00891B95" w:rsidRDefault="00E05A2A" w:rsidP="00E05A2A">
      <w:r>
        <w:t xml:space="preserve">The purpose of this policy is to outline Vision Australia’s accountability and responsibility in relation to wellbeing, health and safety. </w:t>
      </w:r>
    </w:p>
    <w:p w14:paraId="4E75A57C" w14:textId="77777777" w:rsidR="00E05A2A" w:rsidRPr="00891B95" w:rsidRDefault="00E05A2A" w:rsidP="00E05A2A">
      <w:pPr>
        <w:pStyle w:val="Heading2"/>
      </w:pPr>
      <w:r w:rsidRPr="00891B95">
        <w:t>To whom does this policy apply</w:t>
      </w:r>
      <w:bookmarkEnd w:id="1"/>
    </w:p>
    <w:p w14:paraId="125A740B" w14:textId="16947927" w:rsidR="00E05A2A" w:rsidRDefault="00E05A2A" w:rsidP="00E05A2A">
      <w:pPr>
        <w:pStyle w:val="Heading2"/>
        <w:rPr>
          <w:rFonts w:eastAsiaTheme="minorEastAsia" w:cstheme="minorBidi"/>
          <w:b w:val="0"/>
          <w:bCs w:val="0"/>
          <w:sz w:val="24"/>
          <w:szCs w:val="24"/>
        </w:rPr>
      </w:pPr>
      <w:bookmarkStart w:id="6" w:name="_Hlk113610950"/>
      <w:bookmarkEnd w:id="2"/>
      <w:bookmarkEnd w:id="3"/>
      <w:r w:rsidRPr="23782B0F">
        <w:rPr>
          <w:rFonts w:eastAsiaTheme="minorEastAsia" w:cstheme="minorBidi"/>
          <w:b w:val="0"/>
          <w:bCs w:val="0"/>
          <w:sz w:val="24"/>
          <w:szCs w:val="24"/>
        </w:rPr>
        <w:t xml:space="preserve">This policy applies to all workers as defined by the relevant legislation </w:t>
      </w:r>
      <w:r w:rsidR="00F61ABC" w:rsidRPr="23782B0F">
        <w:rPr>
          <w:rFonts w:eastAsiaTheme="minorEastAsia" w:cstheme="minorBidi"/>
          <w:b w:val="0"/>
          <w:bCs w:val="0"/>
          <w:sz w:val="24"/>
          <w:szCs w:val="24"/>
        </w:rPr>
        <w:t>including</w:t>
      </w:r>
      <w:r w:rsidRPr="23782B0F">
        <w:rPr>
          <w:rFonts w:eastAsiaTheme="minorEastAsia" w:cstheme="minorBidi"/>
          <w:b w:val="0"/>
          <w:bCs w:val="0"/>
          <w:sz w:val="24"/>
          <w:szCs w:val="24"/>
        </w:rPr>
        <w:t xml:space="preserve"> board members, the leadership team, </w:t>
      </w:r>
      <w:r>
        <w:rPr>
          <w:rFonts w:eastAsiaTheme="minorEastAsia" w:cstheme="minorBidi"/>
          <w:b w:val="0"/>
          <w:bCs w:val="0"/>
          <w:sz w:val="24"/>
          <w:szCs w:val="24"/>
        </w:rPr>
        <w:t>employees</w:t>
      </w:r>
      <w:r w:rsidRPr="23782B0F">
        <w:rPr>
          <w:rFonts w:eastAsiaTheme="minorEastAsia" w:cstheme="minorBidi"/>
          <w:b w:val="0"/>
          <w:bCs w:val="0"/>
          <w:sz w:val="24"/>
          <w:szCs w:val="24"/>
        </w:rPr>
        <w:t>,</w:t>
      </w:r>
      <w:r>
        <w:rPr>
          <w:rFonts w:eastAsiaTheme="minorEastAsia" w:cstheme="minorBidi"/>
          <w:b w:val="0"/>
          <w:bCs w:val="0"/>
          <w:sz w:val="24"/>
          <w:szCs w:val="24"/>
        </w:rPr>
        <w:t xml:space="preserve"> volunteers, clients</w:t>
      </w:r>
      <w:r w:rsidRPr="23782B0F">
        <w:rPr>
          <w:rFonts w:eastAsiaTheme="minorEastAsia" w:cstheme="minorBidi"/>
          <w:b w:val="0"/>
          <w:bCs w:val="0"/>
          <w:sz w:val="24"/>
          <w:szCs w:val="24"/>
        </w:rPr>
        <w:t xml:space="preserve">, contractors and anyone </w:t>
      </w:r>
      <w:r>
        <w:rPr>
          <w:rFonts w:eastAsiaTheme="minorEastAsia" w:cstheme="minorBidi"/>
          <w:b w:val="0"/>
          <w:bCs w:val="0"/>
          <w:sz w:val="24"/>
          <w:szCs w:val="24"/>
        </w:rPr>
        <w:t xml:space="preserve">that </w:t>
      </w:r>
      <w:proofErr w:type="gramStart"/>
      <w:r>
        <w:rPr>
          <w:rFonts w:eastAsiaTheme="minorEastAsia" w:cstheme="minorBidi"/>
          <w:b w:val="0"/>
          <w:bCs w:val="0"/>
          <w:sz w:val="24"/>
          <w:szCs w:val="24"/>
        </w:rPr>
        <w:t>comes into contact with</w:t>
      </w:r>
      <w:proofErr w:type="gramEnd"/>
      <w:r>
        <w:rPr>
          <w:rFonts w:eastAsiaTheme="minorEastAsia" w:cstheme="minorBidi"/>
          <w:b w:val="0"/>
          <w:bCs w:val="0"/>
          <w:sz w:val="24"/>
          <w:szCs w:val="24"/>
        </w:rPr>
        <w:t xml:space="preserve"> our operations. </w:t>
      </w:r>
    </w:p>
    <w:bookmarkEnd w:id="6"/>
    <w:p w14:paraId="33229659" w14:textId="77777777" w:rsidR="00E05A2A" w:rsidRDefault="00E05A2A" w:rsidP="00E05A2A">
      <w:pPr>
        <w:pStyle w:val="Heading2"/>
      </w:pPr>
      <w:r w:rsidRPr="00891B95">
        <w:t>Policy</w:t>
      </w:r>
    </w:p>
    <w:p w14:paraId="50EEB1B1" w14:textId="77777777" w:rsidR="00E05A2A" w:rsidRDefault="00E05A2A" w:rsidP="00E05A2A">
      <w:bookmarkStart w:id="7" w:name="_Hlk113611001"/>
      <w:r>
        <w:t xml:space="preserve">The wellbeing, health and safety of our workforce, both physical and psychological, is a priority and fundamental to delivering quality services for our clients. It is an important part of our organisational culture and identity. </w:t>
      </w:r>
    </w:p>
    <w:p w14:paraId="7023B993" w14:textId="77777777" w:rsidR="00E05A2A" w:rsidRDefault="00E05A2A" w:rsidP="00E05A2A">
      <w:r>
        <w:t xml:space="preserve">To achieve this, we </w:t>
      </w:r>
      <w:proofErr w:type="gramStart"/>
      <w:r>
        <w:t>will;</w:t>
      </w:r>
      <w:proofErr w:type="gramEnd"/>
      <w:r>
        <w:t xml:space="preserve"> </w:t>
      </w:r>
    </w:p>
    <w:p w14:paraId="25933A49" w14:textId="16C08C32" w:rsidR="00E05A2A" w:rsidRPr="00E05A2A" w:rsidRDefault="00E05A2A" w:rsidP="232B72C3">
      <w:pPr>
        <w:pStyle w:val="ListParagraph"/>
        <w:numPr>
          <w:ilvl w:val="0"/>
          <w:numId w:val="42"/>
        </w:numPr>
        <w:spacing w:before="60" w:line="240" w:lineRule="auto"/>
        <w:rPr>
          <w:rFonts w:ascii="Arial" w:hAnsi="Arial"/>
          <w:sz w:val="24"/>
          <w:szCs w:val="24"/>
        </w:rPr>
      </w:pPr>
      <w:r w:rsidRPr="232B72C3">
        <w:rPr>
          <w:rFonts w:ascii="Arial" w:hAnsi="Arial"/>
          <w:sz w:val="24"/>
          <w:szCs w:val="24"/>
        </w:rPr>
        <w:t xml:space="preserve">Value our people and recognise a legal and moral commitment to building a positive workplace culture, ensuring healthy and safe working </w:t>
      </w:r>
      <w:r w:rsidR="001F037C" w:rsidRPr="232B72C3">
        <w:rPr>
          <w:rFonts w:ascii="Arial" w:hAnsi="Arial"/>
          <w:sz w:val="24"/>
          <w:szCs w:val="24"/>
        </w:rPr>
        <w:t>environments.</w:t>
      </w:r>
    </w:p>
    <w:p w14:paraId="1C2FBBFE" w14:textId="6B45077C" w:rsidR="00E05A2A" w:rsidRPr="00E05A2A" w:rsidRDefault="00E05A2A" w:rsidP="232B72C3">
      <w:pPr>
        <w:pStyle w:val="ListParagraph"/>
        <w:numPr>
          <w:ilvl w:val="0"/>
          <w:numId w:val="42"/>
        </w:numPr>
        <w:spacing w:before="60" w:line="240" w:lineRule="auto"/>
        <w:rPr>
          <w:rFonts w:ascii="Arial" w:hAnsi="Arial"/>
          <w:sz w:val="24"/>
          <w:szCs w:val="24"/>
        </w:rPr>
      </w:pPr>
      <w:r w:rsidRPr="232B72C3">
        <w:rPr>
          <w:rFonts w:ascii="Arial" w:hAnsi="Arial"/>
          <w:sz w:val="24"/>
          <w:szCs w:val="24"/>
        </w:rPr>
        <w:t xml:space="preserve">Consult, collaborate and communicate with our workforce, to achieve positive health, safety and wellbeing </w:t>
      </w:r>
      <w:r w:rsidR="001F037C" w:rsidRPr="232B72C3">
        <w:rPr>
          <w:rFonts w:ascii="Arial" w:hAnsi="Arial"/>
          <w:sz w:val="24"/>
          <w:szCs w:val="24"/>
        </w:rPr>
        <w:t>outcomes.</w:t>
      </w:r>
    </w:p>
    <w:p w14:paraId="6E4BBEF6" w14:textId="0E89834F" w:rsidR="00E05A2A" w:rsidRPr="00E05A2A" w:rsidRDefault="00E05A2A" w:rsidP="232B72C3">
      <w:pPr>
        <w:pStyle w:val="ListParagraph"/>
        <w:numPr>
          <w:ilvl w:val="0"/>
          <w:numId w:val="42"/>
        </w:numPr>
        <w:spacing w:before="60" w:line="240" w:lineRule="auto"/>
        <w:rPr>
          <w:rFonts w:ascii="Arial" w:hAnsi="Arial"/>
          <w:sz w:val="24"/>
          <w:szCs w:val="24"/>
        </w:rPr>
      </w:pPr>
      <w:r w:rsidRPr="232B72C3">
        <w:rPr>
          <w:rFonts w:ascii="Arial" w:hAnsi="Arial"/>
          <w:sz w:val="24"/>
          <w:szCs w:val="24"/>
        </w:rPr>
        <w:t xml:space="preserve">Adopt a risk management approach to reduce the risk of injury, by addressing physical and mental health </w:t>
      </w:r>
      <w:r w:rsidR="001F037C" w:rsidRPr="232B72C3">
        <w:rPr>
          <w:rFonts w:ascii="Arial" w:hAnsi="Arial"/>
          <w:sz w:val="24"/>
          <w:szCs w:val="24"/>
        </w:rPr>
        <w:t>hazards.</w:t>
      </w:r>
    </w:p>
    <w:p w14:paraId="6AE9CC57" w14:textId="46B50FAA" w:rsidR="00E05A2A" w:rsidRPr="00E05A2A" w:rsidRDefault="00E05A2A" w:rsidP="232B72C3">
      <w:pPr>
        <w:pStyle w:val="ListParagraph"/>
        <w:numPr>
          <w:ilvl w:val="0"/>
          <w:numId w:val="42"/>
        </w:numPr>
        <w:spacing w:before="60" w:line="240" w:lineRule="auto"/>
        <w:rPr>
          <w:rFonts w:ascii="Arial" w:hAnsi="Arial"/>
          <w:sz w:val="24"/>
          <w:szCs w:val="24"/>
        </w:rPr>
      </w:pPr>
      <w:r w:rsidRPr="232B72C3">
        <w:rPr>
          <w:rFonts w:ascii="Arial" w:hAnsi="Arial"/>
          <w:sz w:val="24"/>
          <w:szCs w:val="24"/>
        </w:rPr>
        <w:t xml:space="preserve">Drive continuous health, safety and wellbeing </w:t>
      </w:r>
      <w:r w:rsidR="001F037C" w:rsidRPr="232B72C3">
        <w:rPr>
          <w:rFonts w:ascii="Arial" w:hAnsi="Arial"/>
          <w:sz w:val="24"/>
          <w:szCs w:val="24"/>
        </w:rPr>
        <w:t>improvement.</w:t>
      </w:r>
    </w:p>
    <w:p w14:paraId="265111E1" w14:textId="77777777" w:rsidR="00E05A2A" w:rsidRPr="00E05A2A" w:rsidRDefault="00E05A2A" w:rsidP="232B72C3">
      <w:pPr>
        <w:pStyle w:val="ListParagraph"/>
        <w:numPr>
          <w:ilvl w:val="0"/>
          <w:numId w:val="42"/>
        </w:numPr>
        <w:spacing w:before="60" w:line="240" w:lineRule="auto"/>
        <w:rPr>
          <w:rFonts w:ascii="Arial" w:hAnsi="Arial"/>
          <w:sz w:val="24"/>
          <w:szCs w:val="24"/>
        </w:rPr>
      </w:pPr>
      <w:r w:rsidRPr="232B72C3">
        <w:rPr>
          <w:rFonts w:ascii="Arial" w:hAnsi="Arial"/>
          <w:sz w:val="24"/>
          <w:szCs w:val="24"/>
        </w:rPr>
        <w:t>Fulfil relevant health, safety and wellbeing legislative and compliance obligations; and</w:t>
      </w:r>
    </w:p>
    <w:p w14:paraId="0F27AA5A" w14:textId="77777777" w:rsidR="00E05A2A" w:rsidRPr="00E05A2A" w:rsidRDefault="00E05A2A" w:rsidP="232B72C3">
      <w:pPr>
        <w:pStyle w:val="ListParagraph"/>
        <w:numPr>
          <w:ilvl w:val="0"/>
          <w:numId w:val="42"/>
        </w:numPr>
        <w:spacing w:before="60" w:line="240" w:lineRule="auto"/>
        <w:rPr>
          <w:rFonts w:ascii="Arial" w:hAnsi="Arial"/>
          <w:sz w:val="24"/>
          <w:szCs w:val="24"/>
        </w:rPr>
      </w:pPr>
      <w:r w:rsidRPr="232B72C3">
        <w:rPr>
          <w:rFonts w:ascii="Arial" w:hAnsi="Arial"/>
          <w:sz w:val="24"/>
          <w:szCs w:val="24"/>
        </w:rPr>
        <w:t>Provide timely and effective support to prevent ill health and assist our workforce remain well and at work.</w:t>
      </w:r>
    </w:p>
    <w:bookmarkEnd w:id="7"/>
    <w:p w14:paraId="7FBEE85A" w14:textId="77777777" w:rsidR="00E05A2A" w:rsidRDefault="00E05A2A" w:rsidP="00E05A2A">
      <w:r w:rsidRPr="004E053C">
        <w:rPr>
          <w:b/>
        </w:rPr>
        <w:t>The Board, Leadership team and Managers</w:t>
      </w:r>
      <w:r>
        <w:t xml:space="preserve"> are responsible for:</w:t>
      </w:r>
    </w:p>
    <w:p w14:paraId="59E4C499" w14:textId="07562783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 xml:space="preserve">Leading by example, </w:t>
      </w:r>
      <w:bookmarkStart w:id="8" w:name="_Hlk113611061"/>
      <w:r w:rsidRPr="00E05A2A">
        <w:rPr>
          <w:rFonts w:ascii="Arial" w:hAnsi="Arial"/>
          <w:sz w:val="24"/>
          <w:szCs w:val="24"/>
        </w:rPr>
        <w:t xml:space="preserve">demonstrating a visible commitment to health, safety and </w:t>
      </w:r>
      <w:bookmarkEnd w:id="8"/>
      <w:r w:rsidR="001F037C" w:rsidRPr="00E05A2A">
        <w:rPr>
          <w:rFonts w:ascii="Arial" w:hAnsi="Arial"/>
          <w:sz w:val="24"/>
          <w:szCs w:val="24"/>
        </w:rPr>
        <w:t>wellbeing.</w:t>
      </w:r>
      <w:r w:rsidRPr="00E05A2A">
        <w:rPr>
          <w:rFonts w:ascii="Arial" w:hAnsi="Arial"/>
          <w:sz w:val="24"/>
          <w:szCs w:val="24"/>
        </w:rPr>
        <w:t xml:space="preserve"> </w:t>
      </w:r>
    </w:p>
    <w:p w14:paraId="3856FDD2" w14:textId="1094CF5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Integrating wellbeing, health and safety into everyday business decisions and operations</w:t>
      </w:r>
      <w:r w:rsidR="00F61ABC">
        <w:rPr>
          <w:rFonts w:ascii="Arial" w:hAnsi="Arial"/>
          <w:sz w:val="24"/>
          <w:szCs w:val="24"/>
        </w:rPr>
        <w:t>.</w:t>
      </w:r>
    </w:p>
    <w:p w14:paraId="7C542BC4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Providing the resources to fulfil the Wellbeing, Health and Safety Strategy, and any legislative and compliance obligations; and</w:t>
      </w:r>
    </w:p>
    <w:p w14:paraId="441FED2C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lastRenderedPageBreak/>
        <w:t xml:space="preserve">Supporting and promoting a culture of early intervention, to assist our workforce to remain well. </w:t>
      </w:r>
    </w:p>
    <w:p w14:paraId="17DA8B47" w14:textId="77777777" w:rsidR="00E05A2A" w:rsidRDefault="00E05A2A" w:rsidP="00E05A2A">
      <w:bookmarkStart w:id="9" w:name="_Hlk113611111"/>
      <w:r w:rsidRPr="004E053C">
        <w:rPr>
          <w:b/>
        </w:rPr>
        <w:t xml:space="preserve">Our </w:t>
      </w:r>
      <w:r>
        <w:rPr>
          <w:b/>
        </w:rPr>
        <w:t>Employees</w:t>
      </w:r>
      <w:r w:rsidRPr="004E053C">
        <w:rPr>
          <w:b/>
        </w:rPr>
        <w:t xml:space="preserve">, </w:t>
      </w:r>
      <w:r>
        <w:rPr>
          <w:b/>
        </w:rPr>
        <w:t>Volunteers, Clients</w:t>
      </w:r>
      <w:r w:rsidRPr="004E053C">
        <w:rPr>
          <w:b/>
        </w:rPr>
        <w:t xml:space="preserve"> and </w:t>
      </w:r>
      <w:r>
        <w:rPr>
          <w:b/>
        </w:rPr>
        <w:t>C</w:t>
      </w:r>
      <w:r w:rsidRPr="004E053C">
        <w:rPr>
          <w:b/>
        </w:rPr>
        <w:t>ontract</w:t>
      </w:r>
      <w:r>
        <w:rPr>
          <w:b/>
        </w:rPr>
        <w:t>ors</w:t>
      </w:r>
      <w:r>
        <w:t xml:space="preserve"> are responsible for:</w:t>
      </w:r>
    </w:p>
    <w:p w14:paraId="361DD18D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 xml:space="preserve">Taking care of their own, and others’, health and safety at </w:t>
      </w:r>
      <w:proofErr w:type="gramStart"/>
      <w:r w:rsidRPr="00E05A2A">
        <w:rPr>
          <w:rFonts w:ascii="Arial" w:hAnsi="Arial"/>
          <w:sz w:val="24"/>
          <w:szCs w:val="24"/>
        </w:rPr>
        <w:t>work;</w:t>
      </w:r>
      <w:proofErr w:type="gramEnd"/>
    </w:p>
    <w:p w14:paraId="30FCCEE3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 xml:space="preserve">Taking responsibility for doing what they can to manage their own stress and build their own sense of positive </w:t>
      </w:r>
      <w:proofErr w:type="gramStart"/>
      <w:r w:rsidRPr="00E05A2A">
        <w:rPr>
          <w:rFonts w:ascii="Arial" w:hAnsi="Arial"/>
          <w:sz w:val="24"/>
          <w:szCs w:val="24"/>
        </w:rPr>
        <w:t>wellbeing;</w:t>
      </w:r>
      <w:proofErr w:type="gramEnd"/>
      <w:r w:rsidRPr="00E05A2A">
        <w:rPr>
          <w:rFonts w:ascii="Arial" w:hAnsi="Arial"/>
          <w:sz w:val="24"/>
          <w:szCs w:val="24"/>
        </w:rPr>
        <w:t xml:space="preserve"> </w:t>
      </w:r>
    </w:p>
    <w:p w14:paraId="6D99AAEF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Working together to create an environment of feeling supported and respected; and</w:t>
      </w:r>
    </w:p>
    <w:p w14:paraId="3B3F962D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 xml:space="preserve">Actively participating in wellbeing, health and safety matters; training and consultation when required.  </w:t>
      </w:r>
    </w:p>
    <w:bookmarkEnd w:id="9"/>
    <w:p w14:paraId="1170FFDC" w14:textId="77777777" w:rsidR="00E05A2A" w:rsidRPr="00891B95" w:rsidRDefault="00E05A2A" w:rsidP="00E05A2A">
      <w:pPr>
        <w:pStyle w:val="Heading2"/>
      </w:pPr>
      <w:r w:rsidRPr="00891B95">
        <w:t>Definitions</w:t>
      </w:r>
    </w:p>
    <w:p w14:paraId="371467A6" w14:textId="77777777" w:rsidR="00E05A2A" w:rsidRPr="0078011C" w:rsidRDefault="00E05A2A" w:rsidP="00E05A2A">
      <w:pPr>
        <w:spacing w:before="120" w:line="240" w:lineRule="auto"/>
        <w:rPr>
          <w:iCs/>
        </w:rPr>
      </w:pPr>
      <w:r w:rsidRPr="0078011C">
        <w:rPr>
          <w:b/>
          <w:bCs/>
          <w:iCs/>
        </w:rPr>
        <w:t>Client</w:t>
      </w:r>
      <w:r w:rsidRPr="0078011C">
        <w:rPr>
          <w:iCs/>
        </w:rPr>
        <w:t xml:space="preserve"> - </w:t>
      </w:r>
      <w:r w:rsidRPr="00497BBD">
        <w:t>A person who accesses Vision Australia’s services.</w:t>
      </w:r>
    </w:p>
    <w:p w14:paraId="24D92525" w14:textId="77777777" w:rsidR="00E05A2A" w:rsidRPr="00497BBD" w:rsidRDefault="00E05A2A" w:rsidP="00E05A2A">
      <w:pPr>
        <w:spacing w:line="240" w:lineRule="auto"/>
      </w:pPr>
      <w:r w:rsidRPr="0078011C">
        <w:rPr>
          <w:b/>
          <w:iCs/>
        </w:rPr>
        <w:t>Visitor</w:t>
      </w:r>
      <w:r w:rsidRPr="0078011C">
        <w:rPr>
          <w:iCs/>
        </w:rPr>
        <w:t xml:space="preserve"> -</w:t>
      </w:r>
      <w:r w:rsidRPr="00497BBD">
        <w:t xml:space="preserve"> A person who is not a workforce member who is attending a Vision Australia site for any purpose.</w:t>
      </w:r>
    </w:p>
    <w:p w14:paraId="3972CE1D" w14:textId="77777777" w:rsidR="00E05A2A" w:rsidRPr="00497BBD" w:rsidRDefault="00E05A2A" w:rsidP="00E05A2A">
      <w:pPr>
        <w:spacing w:line="240" w:lineRule="auto"/>
      </w:pPr>
      <w:r w:rsidRPr="0078011C">
        <w:rPr>
          <w:b/>
          <w:iCs/>
        </w:rPr>
        <w:t xml:space="preserve">Contractor </w:t>
      </w:r>
      <w:r w:rsidRPr="00497BBD">
        <w:t>- A person who is attending site a Vision Australia site to conduct scheduled work.</w:t>
      </w:r>
    </w:p>
    <w:p w14:paraId="045A07EE" w14:textId="77777777" w:rsidR="00E05A2A" w:rsidRDefault="00E05A2A" w:rsidP="00E05A2A">
      <w:pPr>
        <w:spacing w:before="120"/>
      </w:pPr>
      <w:r w:rsidRPr="0078011C">
        <w:rPr>
          <w:b/>
          <w:iCs/>
        </w:rPr>
        <w:t xml:space="preserve">Workforce Member </w:t>
      </w:r>
      <w:r w:rsidRPr="0078011C">
        <w:rPr>
          <w:iCs/>
        </w:rPr>
        <w:t>-</w:t>
      </w:r>
      <w:r w:rsidRPr="44139E71">
        <w:rPr>
          <w:i/>
          <w:iCs/>
        </w:rPr>
        <w:t xml:space="preserve"> </w:t>
      </w:r>
      <w:r>
        <w:t>includes all employees (paid and unpaid), management, contractors and sub-contractors. </w:t>
      </w:r>
    </w:p>
    <w:p w14:paraId="0CEEDD54" w14:textId="77777777" w:rsidR="00E05A2A" w:rsidRPr="0078011C" w:rsidRDefault="00E05A2A" w:rsidP="00E05A2A">
      <w:pPr>
        <w:pStyle w:val="Heading2"/>
        <w:rPr>
          <w:rFonts w:eastAsia="Calibri"/>
        </w:rPr>
      </w:pPr>
      <w:r w:rsidRPr="0078011C">
        <w:rPr>
          <w:rFonts w:eastAsia="Calibri"/>
        </w:rPr>
        <w:t>Related Policies and Resources</w:t>
      </w:r>
    </w:p>
    <w:p w14:paraId="5FA25869" w14:textId="77777777" w:rsidR="006F52BC" w:rsidRPr="00E05A2A" w:rsidRDefault="006F52BC" w:rsidP="006F52BC">
      <w:pPr>
        <w:pStyle w:val="ListParagraph"/>
        <w:widowControl/>
        <w:numPr>
          <w:ilvl w:val="0"/>
          <w:numId w:val="39"/>
        </w:numPr>
        <w:overflowPunct/>
        <w:autoSpaceDE/>
        <w:autoSpaceDN/>
        <w:adjustRightInd/>
        <w:rPr>
          <w:rFonts w:ascii="Arial" w:hAnsi="Arial"/>
          <w:sz w:val="24"/>
          <w:szCs w:val="24"/>
        </w:rPr>
      </w:pPr>
      <w:hyperlink r:id="rId9" w:history="1">
        <w:r w:rsidRPr="00E05A2A">
          <w:rPr>
            <w:rStyle w:val="Hyperlink"/>
            <w:rFonts w:ascii="Arial" w:hAnsi="Arial"/>
            <w:sz w:val="24"/>
            <w:szCs w:val="24"/>
          </w:rPr>
          <w:t>WHS Consultation Procedure</w:t>
        </w:r>
      </w:hyperlink>
    </w:p>
    <w:p w14:paraId="72269519" w14:textId="77777777" w:rsidR="006F52BC" w:rsidRPr="00E05A2A" w:rsidRDefault="006F52BC" w:rsidP="006F52BC">
      <w:pPr>
        <w:pStyle w:val="ListParagraph"/>
        <w:widowControl/>
        <w:numPr>
          <w:ilvl w:val="0"/>
          <w:numId w:val="39"/>
        </w:numPr>
        <w:overflowPunct/>
        <w:autoSpaceDE/>
        <w:autoSpaceDN/>
        <w:adjustRightInd/>
        <w:rPr>
          <w:rFonts w:ascii="Arial" w:hAnsi="Arial"/>
          <w:sz w:val="24"/>
          <w:szCs w:val="24"/>
        </w:rPr>
      </w:pPr>
      <w:hyperlink r:id="rId10">
        <w:r w:rsidRPr="00E05A2A">
          <w:rPr>
            <w:rStyle w:val="Hyperlink"/>
            <w:rFonts w:ascii="Arial" w:hAnsi="Arial"/>
            <w:sz w:val="24"/>
            <w:szCs w:val="24"/>
          </w:rPr>
          <w:t>Workplace Rehabilitation and Injury Management Policy</w:t>
        </w:r>
      </w:hyperlink>
    </w:p>
    <w:p w14:paraId="4D32E1EF" w14:textId="77777777" w:rsidR="006F52BC" w:rsidRPr="00E143AF" w:rsidRDefault="006F52BC" w:rsidP="006F52BC">
      <w:pPr>
        <w:pStyle w:val="ListParagraph"/>
        <w:widowControl/>
        <w:numPr>
          <w:ilvl w:val="0"/>
          <w:numId w:val="39"/>
        </w:numPr>
        <w:overflowPunct/>
        <w:autoSpaceDE/>
        <w:autoSpaceDN/>
        <w:adjustRightInd/>
        <w:rPr>
          <w:rStyle w:val="Hyperlink"/>
          <w:rFonts w:ascii="Arial" w:hAnsi="Arial"/>
          <w:color w:val="auto"/>
          <w:sz w:val="24"/>
          <w:szCs w:val="24"/>
          <w:u w:val="none"/>
        </w:rPr>
      </w:pPr>
      <w:hyperlink r:id="rId11" w:history="1">
        <w:r w:rsidRPr="00E05A2A">
          <w:rPr>
            <w:rStyle w:val="Hyperlink"/>
            <w:rFonts w:ascii="Arial" w:hAnsi="Arial"/>
            <w:sz w:val="24"/>
            <w:szCs w:val="24"/>
          </w:rPr>
          <w:t>WHS Risk Management Procedure</w:t>
        </w:r>
      </w:hyperlink>
    </w:p>
    <w:p w14:paraId="34125F6C" w14:textId="77777777" w:rsidR="006F52BC" w:rsidRPr="009703F8" w:rsidRDefault="006F52BC" w:rsidP="006F52BC">
      <w:pPr>
        <w:pStyle w:val="ListParagraph"/>
        <w:widowControl/>
        <w:numPr>
          <w:ilvl w:val="0"/>
          <w:numId w:val="39"/>
        </w:numPr>
        <w:overflowPunct/>
        <w:autoSpaceDE/>
        <w:autoSpaceDN/>
        <w:adjustRightInd/>
        <w:rPr>
          <w:color w:val="0000FF"/>
          <w:u w:val="single"/>
        </w:rPr>
      </w:pPr>
      <w:hyperlink r:id="rId12" w:history="1">
        <w:r w:rsidRPr="00E143AF">
          <w:rPr>
            <w:rStyle w:val="Hyperlink"/>
            <w:rFonts w:ascii="Arial" w:hAnsi="Arial"/>
            <w:sz w:val="24"/>
            <w:szCs w:val="24"/>
          </w:rPr>
          <w:t>Vision Australia Emergency Response Plan</w:t>
        </w:r>
      </w:hyperlink>
    </w:p>
    <w:p w14:paraId="61B6A470" w14:textId="77777777" w:rsidR="00E05A2A" w:rsidRDefault="00E05A2A" w:rsidP="00E05A2A">
      <w:pPr>
        <w:pStyle w:val="Heading2"/>
        <w:rPr>
          <w:rFonts w:eastAsia="Calibri"/>
        </w:rPr>
      </w:pPr>
      <w:r w:rsidRPr="0FE8094B">
        <w:rPr>
          <w:rFonts w:eastAsia="Calibri"/>
        </w:rPr>
        <w:t>Legislation, Rules and Regulations</w:t>
      </w:r>
    </w:p>
    <w:p w14:paraId="36CF58B2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Occupational Health and Safety Act 2004 (VIC)</w:t>
      </w:r>
    </w:p>
    <w:p w14:paraId="4B8A6FBE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Work Health and Safety Act 2011 (ACT)</w:t>
      </w:r>
    </w:p>
    <w:p w14:paraId="18EDA604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Work Health and Safety Act 2011 (NSW)</w:t>
      </w:r>
    </w:p>
    <w:p w14:paraId="7006A0B2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Work Health and Safety Act 2011(QLD)</w:t>
      </w:r>
    </w:p>
    <w:p w14:paraId="494FC42D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Work Health and Safety (National Uniform Legislation) Act 2011 (NT)</w:t>
      </w:r>
    </w:p>
    <w:p w14:paraId="1425C166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Work Health and Safety Act 2012 (SA)</w:t>
      </w:r>
    </w:p>
    <w:p w14:paraId="077931BC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Work Health and Safety Act 2012 (TAS)</w:t>
      </w:r>
    </w:p>
    <w:p w14:paraId="4F75BE4E" w14:textId="77777777" w:rsidR="00E05A2A" w:rsidRPr="00E05A2A" w:rsidRDefault="00E05A2A" w:rsidP="00E05A2A">
      <w:pPr>
        <w:pStyle w:val="ListParagraph"/>
        <w:numPr>
          <w:ilvl w:val="0"/>
          <w:numId w:val="42"/>
        </w:numPr>
        <w:spacing w:line="240" w:lineRule="auto"/>
        <w:rPr>
          <w:rFonts w:ascii="Arial" w:hAnsi="Arial"/>
          <w:sz w:val="24"/>
          <w:szCs w:val="24"/>
        </w:rPr>
      </w:pPr>
      <w:r w:rsidRPr="00E05A2A">
        <w:rPr>
          <w:rFonts w:ascii="Arial" w:hAnsi="Arial"/>
          <w:sz w:val="24"/>
          <w:szCs w:val="24"/>
        </w:rPr>
        <w:t>Work Health and Safety Act 2020 (WA)</w:t>
      </w:r>
    </w:p>
    <w:p w14:paraId="73129B56" w14:textId="77777777" w:rsidR="00E05A2A" w:rsidRPr="00891B95" w:rsidRDefault="00E05A2A" w:rsidP="00E05A2A">
      <w:pPr>
        <w:pStyle w:val="Heading2"/>
      </w:pPr>
      <w:r w:rsidRPr="00891B95">
        <w:t>Document Control</w:t>
      </w:r>
    </w:p>
    <w:p w14:paraId="2BDE2CC0" w14:textId="77777777" w:rsidR="00E05A2A" w:rsidRDefault="00E05A2A" w:rsidP="00E05A2A">
      <w:pPr>
        <w:spacing w:line="240" w:lineRule="auto"/>
      </w:pPr>
      <w:r>
        <w:t>Effective Date: September 2022</w:t>
      </w:r>
    </w:p>
    <w:p w14:paraId="09C1DC85" w14:textId="77777777" w:rsidR="0084359A" w:rsidRDefault="0084359A" w:rsidP="0084359A">
      <w:pPr>
        <w:spacing w:line="240" w:lineRule="auto"/>
      </w:pPr>
      <w:r>
        <w:t xml:space="preserve">Last Review: September 2024 </w:t>
      </w:r>
    </w:p>
    <w:p w14:paraId="05679AFE" w14:textId="29806A79" w:rsidR="00E05A2A" w:rsidRDefault="00E05A2A" w:rsidP="00E05A2A">
      <w:pPr>
        <w:spacing w:line="240" w:lineRule="auto"/>
      </w:pPr>
      <w:r>
        <w:t>Version: 5.0</w:t>
      </w:r>
    </w:p>
    <w:p w14:paraId="72B1C28F" w14:textId="77777777" w:rsidR="00E05A2A" w:rsidRDefault="00E05A2A" w:rsidP="00E05A2A">
      <w:pPr>
        <w:spacing w:line="240" w:lineRule="auto"/>
      </w:pPr>
      <w:r>
        <w:t>Policy level:  2</w:t>
      </w:r>
    </w:p>
    <w:p w14:paraId="2881E24F" w14:textId="77777777" w:rsidR="00E05A2A" w:rsidRDefault="00E05A2A" w:rsidP="00E05A2A">
      <w:pPr>
        <w:spacing w:line="240" w:lineRule="auto"/>
      </w:pPr>
      <w:r>
        <w:lastRenderedPageBreak/>
        <w:t>Prepared by: Vision Australia People and Culture, WHS</w:t>
      </w:r>
    </w:p>
    <w:p w14:paraId="19D3BC01" w14:textId="50BBC162" w:rsidR="00E05A2A" w:rsidRDefault="00E05A2A" w:rsidP="00E05A2A">
      <w:pPr>
        <w:spacing w:line="240" w:lineRule="auto"/>
      </w:pPr>
      <w:r w:rsidRPr="004D41E3">
        <w:t xml:space="preserve">Approved by:  </w:t>
      </w:r>
      <w:r w:rsidR="0088134B">
        <w:t>Acting Chief Executive Officer</w:t>
      </w:r>
    </w:p>
    <w:p w14:paraId="6AE03AE4" w14:textId="74A38E4D" w:rsidR="00E05A2A" w:rsidRDefault="00E05A2A" w:rsidP="00E05A2A">
      <w:pPr>
        <w:spacing w:line="240" w:lineRule="auto"/>
      </w:pPr>
      <w:r w:rsidRPr="00406257">
        <w:t>Next Review:</w:t>
      </w:r>
      <w:r>
        <w:t xml:space="preserve"> September 202</w:t>
      </w:r>
      <w:r w:rsidR="00922335">
        <w:t>6</w:t>
      </w:r>
    </w:p>
    <w:p w14:paraId="37403670" w14:textId="77777777" w:rsidR="00E05A2A" w:rsidRPr="00F13A55" w:rsidRDefault="00E05A2A" w:rsidP="00E05A2A">
      <w:pPr>
        <w:pStyle w:val="Heading2"/>
      </w:pPr>
      <w:r w:rsidRPr="00F13A55"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ersion control table"/>
        <w:tblDescription w:val="The top row lists column headings for the policy version, who it was prepared by, and when it was made effective. Rows below list each policy version."/>
      </w:tblPr>
      <w:tblGrid>
        <w:gridCol w:w="1204"/>
        <w:gridCol w:w="1360"/>
        <w:gridCol w:w="1480"/>
        <w:gridCol w:w="1390"/>
        <w:gridCol w:w="1537"/>
        <w:gridCol w:w="2045"/>
      </w:tblGrid>
      <w:tr w:rsidR="00E05A2A" w14:paraId="32084630" w14:textId="77777777" w:rsidTr="00922335">
        <w:trPr>
          <w:tblHeader/>
        </w:trPr>
        <w:tc>
          <w:tcPr>
            <w:tcW w:w="1204" w:type="dxa"/>
          </w:tcPr>
          <w:p w14:paraId="35753909" w14:textId="77777777" w:rsidR="00E05A2A" w:rsidRPr="0078011C" w:rsidRDefault="00E05A2A" w:rsidP="00566BF8">
            <w:pPr>
              <w:tabs>
                <w:tab w:val="left" w:pos="2040"/>
              </w:tabs>
              <w:jc w:val="center"/>
              <w:rPr>
                <w:b/>
              </w:rPr>
            </w:pPr>
            <w:r w:rsidRPr="0078011C">
              <w:rPr>
                <w:b/>
              </w:rPr>
              <w:t>Version</w:t>
            </w:r>
          </w:p>
        </w:tc>
        <w:tc>
          <w:tcPr>
            <w:tcW w:w="1360" w:type="dxa"/>
          </w:tcPr>
          <w:p w14:paraId="6D19D9A5" w14:textId="77777777" w:rsidR="00E05A2A" w:rsidRPr="0078011C" w:rsidRDefault="00E05A2A" w:rsidP="00566BF8">
            <w:pPr>
              <w:tabs>
                <w:tab w:val="left" w:pos="2040"/>
              </w:tabs>
              <w:jc w:val="center"/>
              <w:rPr>
                <w:b/>
              </w:rPr>
            </w:pPr>
            <w:r w:rsidRPr="0078011C">
              <w:rPr>
                <w:b/>
              </w:rPr>
              <w:t>Prepared by</w:t>
            </w:r>
          </w:p>
        </w:tc>
        <w:tc>
          <w:tcPr>
            <w:tcW w:w="1480" w:type="dxa"/>
          </w:tcPr>
          <w:p w14:paraId="13BF84CF" w14:textId="77777777" w:rsidR="00E05A2A" w:rsidRPr="0078011C" w:rsidRDefault="00E05A2A" w:rsidP="00566BF8">
            <w:pPr>
              <w:tabs>
                <w:tab w:val="left" w:pos="2040"/>
              </w:tabs>
              <w:jc w:val="center"/>
            </w:pPr>
            <w:r w:rsidRPr="0078011C">
              <w:rPr>
                <w:b/>
              </w:rPr>
              <w:t>Approved by</w:t>
            </w:r>
          </w:p>
        </w:tc>
        <w:tc>
          <w:tcPr>
            <w:tcW w:w="1390" w:type="dxa"/>
          </w:tcPr>
          <w:p w14:paraId="3556A209" w14:textId="77777777" w:rsidR="00E05A2A" w:rsidRPr="0078011C" w:rsidRDefault="00E05A2A" w:rsidP="00566BF8">
            <w:pPr>
              <w:tabs>
                <w:tab w:val="left" w:pos="2040"/>
              </w:tabs>
              <w:jc w:val="center"/>
              <w:rPr>
                <w:b/>
              </w:rPr>
            </w:pPr>
            <w:r w:rsidRPr="0078011C">
              <w:rPr>
                <w:b/>
              </w:rPr>
              <w:t>Effective date</w:t>
            </w:r>
          </w:p>
        </w:tc>
        <w:tc>
          <w:tcPr>
            <w:tcW w:w="1537" w:type="dxa"/>
          </w:tcPr>
          <w:p w14:paraId="57930CE2" w14:textId="77777777" w:rsidR="00E05A2A" w:rsidRPr="0078011C" w:rsidRDefault="00E05A2A" w:rsidP="00566BF8">
            <w:pPr>
              <w:tabs>
                <w:tab w:val="left" w:pos="2040"/>
              </w:tabs>
              <w:jc w:val="center"/>
              <w:rPr>
                <w:b/>
              </w:rPr>
            </w:pPr>
            <w:r w:rsidRPr="0078011C">
              <w:rPr>
                <w:b/>
              </w:rPr>
              <w:t xml:space="preserve">Reason for changes </w:t>
            </w:r>
          </w:p>
        </w:tc>
        <w:tc>
          <w:tcPr>
            <w:tcW w:w="2045" w:type="dxa"/>
          </w:tcPr>
          <w:p w14:paraId="3F621D3B" w14:textId="77777777" w:rsidR="00E05A2A" w:rsidRPr="0078011C" w:rsidRDefault="00E05A2A" w:rsidP="00566BF8">
            <w:pPr>
              <w:tabs>
                <w:tab w:val="left" w:pos="2040"/>
              </w:tabs>
              <w:jc w:val="center"/>
              <w:rPr>
                <w:b/>
              </w:rPr>
            </w:pPr>
            <w:r w:rsidRPr="0078011C">
              <w:rPr>
                <w:b/>
              </w:rPr>
              <w:t xml:space="preserve">Summary of Changes </w:t>
            </w:r>
          </w:p>
        </w:tc>
      </w:tr>
      <w:tr w:rsidR="00E05A2A" w14:paraId="2839D752" w14:textId="77777777" w:rsidTr="00922335">
        <w:tc>
          <w:tcPr>
            <w:tcW w:w="1204" w:type="dxa"/>
          </w:tcPr>
          <w:p w14:paraId="02796C8B" w14:textId="3403538E" w:rsidR="00E05A2A" w:rsidRPr="0078011C" w:rsidRDefault="00E05A2A" w:rsidP="00566BF8">
            <w:pPr>
              <w:tabs>
                <w:tab w:val="left" w:pos="2040"/>
              </w:tabs>
            </w:pPr>
            <w:r w:rsidRPr="0078011C">
              <w:t xml:space="preserve">Version </w:t>
            </w:r>
            <w:r>
              <w:t>5.0</w:t>
            </w:r>
          </w:p>
        </w:tc>
        <w:tc>
          <w:tcPr>
            <w:tcW w:w="1360" w:type="dxa"/>
          </w:tcPr>
          <w:p w14:paraId="0745C074" w14:textId="77777777" w:rsidR="00E05A2A" w:rsidRPr="0078011C" w:rsidRDefault="00E05A2A" w:rsidP="00566BF8">
            <w:pPr>
              <w:tabs>
                <w:tab w:val="left" w:pos="2040"/>
              </w:tabs>
            </w:pPr>
            <w:r w:rsidRPr="0078011C">
              <w:t xml:space="preserve">WHS Team </w:t>
            </w:r>
          </w:p>
        </w:tc>
        <w:tc>
          <w:tcPr>
            <w:tcW w:w="1480" w:type="dxa"/>
          </w:tcPr>
          <w:p w14:paraId="19F4DF36" w14:textId="77777777" w:rsidR="00E05A2A" w:rsidRPr="0078011C" w:rsidRDefault="00E05A2A" w:rsidP="00566BF8">
            <w:pPr>
              <w:tabs>
                <w:tab w:val="left" w:pos="2040"/>
              </w:tabs>
            </w:pPr>
            <w:r w:rsidRPr="0078011C">
              <w:t xml:space="preserve">Leadership Team </w:t>
            </w:r>
          </w:p>
        </w:tc>
        <w:tc>
          <w:tcPr>
            <w:tcW w:w="1390" w:type="dxa"/>
          </w:tcPr>
          <w:p w14:paraId="6223E682" w14:textId="77777777" w:rsidR="00E05A2A" w:rsidRPr="0078011C" w:rsidRDefault="00E05A2A" w:rsidP="00566BF8">
            <w:pPr>
              <w:tabs>
                <w:tab w:val="left" w:pos="2040"/>
              </w:tabs>
            </w:pPr>
            <w:r w:rsidRPr="0078011C">
              <w:t>September 2022</w:t>
            </w:r>
          </w:p>
        </w:tc>
        <w:tc>
          <w:tcPr>
            <w:tcW w:w="1537" w:type="dxa"/>
          </w:tcPr>
          <w:p w14:paraId="164EFA42" w14:textId="77777777" w:rsidR="00E05A2A" w:rsidRPr="0078011C" w:rsidRDefault="00E05A2A" w:rsidP="00566BF8">
            <w:pPr>
              <w:tabs>
                <w:tab w:val="left" w:pos="2040"/>
              </w:tabs>
            </w:pPr>
            <w:r w:rsidRPr="0078011C">
              <w:t xml:space="preserve">Due for review </w:t>
            </w:r>
          </w:p>
        </w:tc>
        <w:tc>
          <w:tcPr>
            <w:tcW w:w="2045" w:type="dxa"/>
          </w:tcPr>
          <w:p w14:paraId="6EE37CDB" w14:textId="15DA3252" w:rsidR="00E05A2A" w:rsidRPr="0078011C" w:rsidRDefault="00E05A2A" w:rsidP="00566BF8">
            <w:pPr>
              <w:tabs>
                <w:tab w:val="left" w:pos="2040"/>
              </w:tabs>
            </w:pPr>
            <w:r w:rsidRPr="0078011C">
              <w:t>In line with current practice and legislative requirements.</w:t>
            </w:r>
            <w:r>
              <w:t xml:space="preserve"> Change of template</w:t>
            </w:r>
          </w:p>
        </w:tc>
      </w:tr>
      <w:tr w:rsidR="00922335" w14:paraId="6272140A" w14:textId="77777777" w:rsidTr="00922335">
        <w:tc>
          <w:tcPr>
            <w:tcW w:w="1204" w:type="dxa"/>
          </w:tcPr>
          <w:p w14:paraId="4E061EB5" w14:textId="72FA5644" w:rsidR="00922335" w:rsidRDefault="00922335" w:rsidP="00922335">
            <w:pPr>
              <w:tabs>
                <w:tab w:val="left" w:pos="2040"/>
              </w:tabs>
            </w:pPr>
            <w:r w:rsidRPr="0078011C">
              <w:t xml:space="preserve">Version </w:t>
            </w:r>
            <w:r w:rsidR="0084359A">
              <w:t>6.0</w:t>
            </w:r>
          </w:p>
        </w:tc>
        <w:tc>
          <w:tcPr>
            <w:tcW w:w="1360" w:type="dxa"/>
          </w:tcPr>
          <w:p w14:paraId="5BD4EF40" w14:textId="3006D4D2" w:rsidR="00922335" w:rsidRDefault="00922335" w:rsidP="00922335">
            <w:pPr>
              <w:tabs>
                <w:tab w:val="left" w:pos="2040"/>
              </w:tabs>
            </w:pPr>
            <w:r w:rsidRPr="0078011C">
              <w:t xml:space="preserve">WHS Team </w:t>
            </w:r>
          </w:p>
        </w:tc>
        <w:tc>
          <w:tcPr>
            <w:tcW w:w="1480" w:type="dxa"/>
          </w:tcPr>
          <w:p w14:paraId="12EB60DD" w14:textId="111F4B31" w:rsidR="00922335" w:rsidRDefault="00922335" w:rsidP="00922335">
            <w:pPr>
              <w:tabs>
                <w:tab w:val="left" w:pos="2040"/>
              </w:tabs>
            </w:pPr>
            <w:r w:rsidRPr="0078011C">
              <w:t xml:space="preserve">Leadership Team </w:t>
            </w:r>
          </w:p>
        </w:tc>
        <w:tc>
          <w:tcPr>
            <w:tcW w:w="1390" w:type="dxa"/>
          </w:tcPr>
          <w:p w14:paraId="6AEFC65D" w14:textId="4F159695" w:rsidR="00922335" w:rsidRDefault="00922335" w:rsidP="00922335">
            <w:pPr>
              <w:tabs>
                <w:tab w:val="left" w:pos="2040"/>
              </w:tabs>
            </w:pPr>
            <w:r>
              <w:t>September 2024</w:t>
            </w:r>
          </w:p>
        </w:tc>
        <w:tc>
          <w:tcPr>
            <w:tcW w:w="1537" w:type="dxa"/>
          </w:tcPr>
          <w:p w14:paraId="0B99D3F3" w14:textId="6D7C25BF" w:rsidR="00922335" w:rsidRDefault="00922335" w:rsidP="00922335">
            <w:pPr>
              <w:tabs>
                <w:tab w:val="left" w:pos="2040"/>
              </w:tabs>
            </w:pPr>
            <w:r w:rsidRPr="0078011C">
              <w:t xml:space="preserve">Due for review </w:t>
            </w:r>
          </w:p>
        </w:tc>
        <w:tc>
          <w:tcPr>
            <w:tcW w:w="2045" w:type="dxa"/>
          </w:tcPr>
          <w:p w14:paraId="2764D5FD" w14:textId="7E81F8EF" w:rsidR="00922335" w:rsidRDefault="00922335" w:rsidP="00922335">
            <w:pPr>
              <w:tabs>
                <w:tab w:val="left" w:pos="2040"/>
              </w:tabs>
            </w:pPr>
            <w:r>
              <w:t xml:space="preserve">No content changes.  </w:t>
            </w:r>
            <w:r w:rsidR="00DD7D19">
              <w:t>Change to ‘Approved by Acting CEO’</w:t>
            </w:r>
          </w:p>
        </w:tc>
      </w:tr>
    </w:tbl>
    <w:p w14:paraId="4D77A843" w14:textId="77777777" w:rsidR="00E05A2A" w:rsidRPr="00406257" w:rsidRDefault="00E05A2A" w:rsidP="00E05A2A">
      <w:r w:rsidRPr="00406257">
        <w:t>END</w:t>
      </w:r>
    </w:p>
    <w:p w14:paraId="027EEA03" w14:textId="77777777" w:rsidR="00E05A2A" w:rsidRPr="003C3967" w:rsidRDefault="00E05A2A" w:rsidP="00E05A2A"/>
    <w:p w14:paraId="0A37501D" w14:textId="77777777" w:rsidR="00446B06" w:rsidRPr="00E05A2A" w:rsidRDefault="00446B06" w:rsidP="00E05A2A"/>
    <w:sectPr w:rsidR="00446B06" w:rsidRPr="00E05A2A" w:rsidSect="004F61B5">
      <w:headerReference w:type="default" r:id="rId13"/>
      <w:footerReference w:type="default" r:id="rId14"/>
      <w:pgSz w:w="11906" w:h="16838"/>
      <w:pgMar w:top="1440" w:right="1440" w:bottom="1440" w:left="1440" w:header="142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2C7C3" w14:textId="77777777" w:rsidR="00E4266D" w:rsidRDefault="00E4266D" w:rsidP="00D37D87">
      <w:r>
        <w:separator/>
      </w:r>
    </w:p>
  </w:endnote>
  <w:endnote w:type="continuationSeparator" w:id="0">
    <w:p w14:paraId="5F4AD0F2" w14:textId="77777777" w:rsidR="00E4266D" w:rsidRDefault="00E4266D" w:rsidP="00D3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 Italic M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8E252" w14:textId="5EFDFD25" w:rsidR="00BB3331" w:rsidRDefault="00636AC9" w:rsidP="00BB3331">
    <w:pPr>
      <w:pStyle w:val="Footer"/>
      <w:tabs>
        <w:tab w:val="clear" w:pos="4513"/>
        <w:tab w:val="clear" w:pos="9026"/>
      </w:tabs>
    </w:pPr>
    <w:r>
      <w:t>WHS 1.0.0 (v</w:t>
    </w:r>
    <w:r w:rsidR="0084359A">
      <w:t>6</w:t>
    </w:r>
    <w:r w:rsidR="00BB3331">
      <w:t>)</w:t>
    </w:r>
    <w:r w:rsidR="00BB3331">
      <w:tab/>
    </w:r>
    <w:r w:rsidR="00BB3331">
      <w:tab/>
    </w:r>
    <w:r w:rsidR="00BB3331">
      <w:tab/>
    </w:r>
    <w:r w:rsidR="00BB3331">
      <w:tab/>
    </w:r>
    <w:r w:rsidR="00BB3331">
      <w:tab/>
    </w:r>
    <w:r w:rsidR="00BB3331">
      <w:tab/>
    </w:r>
    <w:r w:rsidR="00BB3331">
      <w:tab/>
    </w:r>
    <w:r w:rsidR="00BB3331">
      <w:tab/>
    </w:r>
    <w:r w:rsidR="00BB3331">
      <w:tab/>
    </w:r>
    <w:r w:rsidR="00BB3331">
      <w:fldChar w:fldCharType="begin"/>
    </w:r>
    <w:r w:rsidR="00BB3331">
      <w:instrText xml:space="preserve"> PAGE   \* MERGEFORMAT </w:instrText>
    </w:r>
    <w:r w:rsidR="00BB3331">
      <w:fldChar w:fldCharType="separate"/>
    </w:r>
    <w:r w:rsidR="003142D7">
      <w:rPr>
        <w:noProof/>
      </w:rPr>
      <w:t>1</w:t>
    </w:r>
    <w:r w:rsidR="00BB3331">
      <w:rPr>
        <w:noProof/>
      </w:rPr>
      <w:fldChar w:fldCharType="end"/>
    </w:r>
  </w:p>
  <w:p w14:paraId="5DAB6C7B" w14:textId="77777777" w:rsidR="008D0140" w:rsidRPr="00BB3331" w:rsidRDefault="008D0140" w:rsidP="00BB3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CF86D" w14:textId="77777777" w:rsidR="00E4266D" w:rsidRDefault="00E4266D" w:rsidP="00D37D87">
      <w:r>
        <w:separator/>
      </w:r>
    </w:p>
  </w:footnote>
  <w:footnote w:type="continuationSeparator" w:id="0">
    <w:p w14:paraId="11467819" w14:textId="77777777" w:rsidR="00E4266D" w:rsidRDefault="00E4266D" w:rsidP="00D3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378F" w14:textId="09332471" w:rsidR="008D0140" w:rsidRPr="00765583" w:rsidRDefault="00E05A2A" w:rsidP="00765583">
    <w:pPr>
      <w:pStyle w:val="Header"/>
      <w:jc w:val="right"/>
    </w:pPr>
    <w:r>
      <w:rPr>
        <w:noProof/>
        <w:color w:val="2B579A"/>
        <w:shd w:val="clear" w:color="auto" w:fill="E6E6E6"/>
        <w:lang w:eastAsia="en-AU"/>
      </w:rPr>
      <w:drawing>
        <wp:inline distT="0" distB="0" distL="0" distR="0" wp14:anchorId="0A09AAC4" wp14:editId="4D1E8924">
          <wp:extent cx="5731510" cy="847514"/>
          <wp:effectExtent l="0" t="0" r="2540" b="0"/>
          <wp:docPr id="4" name="Picture 4" descr="Decorative - Vision Australia Link logo in blue with tageline Blindess. Low Vision. Opportun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ignworks:WIP:Work in Progress:Vision Australia :VIS0011_Collateral Roll Out Batch One:FACTSHEET, FLYERS &amp; MISC:GENERIC FACT SHEET:Working file:VA_Generic_Fact Sheet_V01_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47514"/>
                  </a:xfrm>
                  <a:prstGeom prst="rect">
                    <a:avLst/>
                  </a:prstGeom>
                  <a:solidFill>
                    <a:srgbClr val="FFFF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0CA8AF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125A4E"/>
    <w:multiLevelType w:val="hybridMultilevel"/>
    <w:tmpl w:val="65503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B2B8E"/>
    <w:multiLevelType w:val="hybridMultilevel"/>
    <w:tmpl w:val="59B4A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D1247"/>
    <w:multiLevelType w:val="hybridMultilevel"/>
    <w:tmpl w:val="1676FA56"/>
    <w:lvl w:ilvl="0" w:tplc="6F6E5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50F02"/>
    <w:multiLevelType w:val="hybridMultilevel"/>
    <w:tmpl w:val="E1E00A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40D30"/>
    <w:multiLevelType w:val="hybridMultilevel"/>
    <w:tmpl w:val="627EDC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5547B"/>
    <w:multiLevelType w:val="hybridMultilevel"/>
    <w:tmpl w:val="8DBAC498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7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0AA50E7D"/>
    <w:multiLevelType w:val="hybridMultilevel"/>
    <w:tmpl w:val="0D527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4115D"/>
    <w:multiLevelType w:val="hybridMultilevel"/>
    <w:tmpl w:val="C1BA96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A50798"/>
    <w:multiLevelType w:val="hybridMultilevel"/>
    <w:tmpl w:val="E446E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125BF"/>
    <w:multiLevelType w:val="hybridMultilevel"/>
    <w:tmpl w:val="31502A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8716A"/>
    <w:multiLevelType w:val="hybridMultilevel"/>
    <w:tmpl w:val="09C66864"/>
    <w:lvl w:ilvl="0" w:tplc="41D84A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1F497D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B15413"/>
    <w:multiLevelType w:val="hybridMultilevel"/>
    <w:tmpl w:val="553A0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47A23"/>
    <w:multiLevelType w:val="hybridMultilevel"/>
    <w:tmpl w:val="B240BD0A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7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154B15A8"/>
    <w:multiLevelType w:val="hybridMultilevel"/>
    <w:tmpl w:val="24EAA02C"/>
    <w:lvl w:ilvl="0" w:tplc="0C09000F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94FEC"/>
    <w:multiLevelType w:val="hybridMultilevel"/>
    <w:tmpl w:val="D0943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158C5"/>
    <w:multiLevelType w:val="hybridMultilevel"/>
    <w:tmpl w:val="665404F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1F497D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B57933"/>
    <w:multiLevelType w:val="hybridMultilevel"/>
    <w:tmpl w:val="D982D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0096B"/>
    <w:multiLevelType w:val="hybridMultilevel"/>
    <w:tmpl w:val="20AA821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24701848"/>
    <w:multiLevelType w:val="hybridMultilevel"/>
    <w:tmpl w:val="5FB64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91A1B"/>
    <w:multiLevelType w:val="hybridMultilevel"/>
    <w:tmpl w:val="F2621C32"/>
    <w:lvl w:ilvl="0" w:tplc="F112C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F473A4"/>
    <w:multiLevelType w:val="hybridMultilevel"/>
    <w:tmpl w:val="6BE0D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36FBF"/>
    <w:multiLevelType w:val="hybridMultilevel"/>
    <w:tmpl w:val="86FC12A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8A16BF7"/>
    <w:multiLevelType w:val="hybridMultilevel"/>
    <w:tmpl w:val="7526D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ED26CD"/>
    <w:multiLevelType w:val="hybridMultilevel"/>
    <w:tmpl w:val="4828BE06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D55D5C"/>
    <w:multiLevelType w:val="hybridMultilevel"/>
    <w:tmpl w:val="CE843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225A68"/>
    <w:multiLevelType w:val="hybridMultilevel"/>
    <w:tmpl w:val="22C2E20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02792B"/>
    <w:multiLevelType w:val="hybridMultilevel"/>
    <w:tmpl w:val="52ECA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984041"/>
    <w:multiLevelType w:val="hybridMultilevel"/>
    <w:tmpl w:val="8362AD2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830550"/>
    <w:multiLevelType w:val="hybridMultilevel"/>
    <w:tmpl w:val="DCF09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66F3E"/>
    <w:multiLevelType w:val="hybridMultilevel"/>
    <w:tmpl w:val="E52A3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9E703E"/>
    <w:multiLevelType w:val="hybridMultilevel"/>
    <w:tmpl w:val="A75CEDE6"/>
    <w:lvl w:ilvl="0" w:tplc="6F6E5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05887"/>
    <w:multiLevelType w:val="hybridMultilevel"/>
    <w:tmpl w:val="0E8C8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918A2"/>
    <w:multiLevelType w:val="hybridMultilevel"/>
    <w:tmpl w:val="84BA4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05479D"/>
    <w:multiLevelType w:val="hybridMultilevel"/>
    <w:tmpl w:val="05B2B818"/>
    <w:lvl w:ilvl="0" w:tplc="E98E7A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9E403D"/>
    <w:multiLevelType w:val="hybridMultilevel"/>
    <w:tmpl w:val="6016A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A2F67"/>
    <w:multiLevelType w:val="hybridMultilevel"/>
    <w:tmpl w:val="59101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817D2"/>
    <w:multiLevelType w:val="hybridMultilevel"/>
    <w:tmpl w:val="DC32F87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A7B0F32"/>
    <w:multiLevelType w:val="hybridMultilevel"/>
    <w:tmpl w:val="6172D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B5C7B"/>
    <w:multiLevelType w:val="hybridMultilevel"/>
    <w:tmpl w:val="35A42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533CA"/>
    <w:multiLevelType w:val="hybridMultilevel"/>
    <w:tmpl w:val="36361FC0"/>
    <w:lvl w:ilvl="0" w:tplc="FEC0AA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63514">
    <w:abstractNumId w:val="10"/>
  </w:num>
  <w:num w:numId="2" w16cid:durableId="1797985133">
    <w:abstractNumId w:val="16"/>
  </w:num>
  <w:num w:numId="3" w16cid:durableId="462112952">
    <w:abstractNumId w:val="11"/>
  </w:num>
  <w:num w:numId="4" w16cid:durableId="1482116740">
    <w:abstractNumId w:val="0"/>
    <w:lvlOverride w:ilvl="0">
      <w:lvl w:ilvl="0">
        <w:numFmt w:val="bullet"/>
        <w:lvlText w:val=""/>
        <w:legacy w:legacy="1" w:legacySpace="0" w:legacyIndent="360"/>
        <w:lvlJc w:val="left"/>
        <w:pPr>
          <w:ind w:left="0" w:firstLine="0"/>
        </w:pPr>
        <w:rPr>
          <w:rFonts w:ascii="Wingdings" w:hAnsi="Wingdings" w:hint="default"/>
          <w:color w:val="44546A" w:themeColor="text2"/>
        </w:rPr>
      </w:lvl>
    </w:lvlOverride>
  </w:num>
  <w:num w:numId="5" w16cid:durableId="1296564504">
    <w:abstractNumId w:val="30"/>
  </w:num>
  <w:num w:numId="6" w16cid:durableId="651525625">
    <w:abstractNumId w:val="26"/>
  </w:num>
  <w:num w:numId="7" w16cid:durableId="646478059">
    <w:abstractNumId w:val="40"/>
  </w:num>
  <w:num w:numId="8" w16cid:durableId="1965962796">
    <w:abstractNumId w:val="11"/>
  </w:num>
  <w:num w:numId="9" w16cid:durableId="771169273">
    <w:abstractNumId w:val="25"/>
  </w:num>
  <w:num w:numId="10" w16cid:durableId="1199857644">
    <w:abstractNumId w:val="17"/>
  </w:num>
  <w:num w:numId="11" w16cid:durableId="880870501">
    <w:abstractNumId w:val="20"/>
  </w:num>
  <w:num w:numId="12" w16cid:durableId="1582645074">
    <w:abstractNumId w:val="18"/>
  </w:num>
  <w:num w:numId="13" w16cid:durableId="1477189034">
    <w:abstractNumId w:val="24"/>
  </w:num>
  <w:num w:numId="14" w16cid:durableId="1758165440">
    <w:abstractNumId w:val="36"/>
  </w:num>
  <w:num w:numId="15" w16cid:durableId="898327880">
    <w:abstractNumId w:val="34"/>
  </w:num>
  <w:num w:numId="16" w16cid:durableId="1397584942">
    <w:abstractNumId w:val="35"/>
  </w:num>
  <w:num w:numId="17" w16cid:durableId="616957712">
    <w:abstractNumId w:val="22"/>
  </w:num>
  <w:num w:numId="18" w16cid:durableId="1400901923">
    <w:abstractNumId w:val="37"/>
  </w:num>
  <w:num w:numId="19" w16cid:durableId="1378164589">
    <w:abstractNumId w:val="1"/>
  </w:num>
  <w:num w:numId="20" w16cid:durableId="2144418644">
    <w:abstractNumId w:val="15"/>
  </w:num>
  <w:num w:numId="21" w16cid:durableId="1453554105">
    <w:abstractNumId w:val="27"/>
  </w:num>
  <w:num w:numId="22" w16cid:durableId="262153510">
    <w:abstractNumId w:val="23"/>
  </w:num>
  <w:num w:numId="23" w16cid:durableId="95247506">
    <w:abstractNumId w:val="21"/>
  </w:num>
  <w:num w:numId="24" w16cid:durableId="1468160448">
    <w:abstractNumId w:val="7"/>
  </w:num>
  <w:num w:numId="25" w16cid:durableId="1352684389">
    <w:abstractNumId w:val="38"/>
  </w:num>
  <w:num w:numId="26" w16cid:durableId="1976636900">
    <w:abstractNumId w:val="8"/>
  </w:num>
  <w:num w:numId="27" w16cid:durableId="2038653136">
    <w:abstractNumId w:val="2"/>
  </w:num>
  <w:num w:numId="28" w16cid:durableId="1190412084">
    <w:abstractNumId w:val="5"/>
  </w:num>
  <w:num w:numId="29" w16cid:durableId="1674718439">
    <w:abstractNumId w:val="29"/>
  </w:num>
  <w:num w:numId="30" w16cid:durableId="297344079">
    <w:abstractNumId w:val="19"/>
  </w:num>
  <w:num w:numId="31" w16cid:durableId="1973124107">
    <w:abstractNumId w:val="32"/>
  </w:num>
  <w:num w:numId="32" w16cid:durableId="34163448">
    <w:abstractNumId w:val="14"/>
  </w:num>
  <w:num w:numId="33" w16cid:durableId="1654527618">
    <w:abstractNumId w:val="6"/>
  </w:num>
  <w:num w:numId="34" w16cid:durableId="1750956543">
    <w:abstractNumId w:val="13"/>
  </w:num>
  <w:num w:numId="35" w16cid:durableId="1587689161">
    <w:abstractNumId w:val="28"/>
  </w:num>
  <w:num w:numId="36" w16cid:durableId="184172378">
    <w:abstractNumId w:val="3"/>
  </w:num>
  <w:num w:numId="37" w16cid:durableId="590158956">
    <w:abstractNumId w:val="33"/>
  </w:num>
  <w:num w:numId="38" w16cid:durableId="1995182618">
    <w:abstractNumId w:val="12"/>
  </w:num>
  <w:num w:numId="39" w16cid:durableId="466120503">
    <w:abstractNumId w:val="39"/>
  </w:num>
  <w:num w:numId="40" w16cid:durableId="1784689621">
    <w:abstractNumId w:val="9"/>
  </w:num>
  <w:num w:numId="41" w16cid:durableId="779302427">
    <w:abstractNumId w:val="4"/>
  </w:num>
  <w:num w:numId="42" w16cid:durableId="10721184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06"/>
    <w:rsid w:val="00013734"/>
    <w:rsid w:val="000179CE"/>
    <w:rsid w:val="000217CC"/>
    <w:rsid w:val="00037581"/>
    <w:rsid w:val="00045052"/>
    <w:rsid w:val="00062361"/>
    <w:rsid w:val="00064442"/>
    <w:rsid w:val="000A2C16"/>
    <w:rsid w:val="0010044D"/>
    <w:rsid w:val="00134117"/>
    <w:rsid w:val="00143716"/>
    <w:rsid w:val="001454E3"/>
    <w:rsid w:val="00163203"/>
    <w:rsid w:val="001A2058"/>
    <w:rsid w:val="001E0EFE"/>
    <w:rsid w:val="001F037C"/>
    <w:rsid w:val="001F139B"/>
    <w:rsid w:val="00241550"/>
    <w:rsid w:val="00272596"/>
    <w:rsid w:val="003142D7"/>
    <w:rsid w:val="00321957"/>
    <w:rsid w:val="00324A98"/>
    <w:rsid w:val="00344656"/>
    <w:rsid w:val="0035188F"/>
    <w:rsid w:val="00383B16"/>
    <w:rsid w:val="00387211"/>
    <w:rsid w:val="003924CD"/>
    <w:rsid w:val="003A3F5B"/>
    <w:rsid w:val="003D0431"/>
    <w:rsid w:val="00446B06"/>
    <w:rsid w:val="0046200C"/>
    <w:rsid w:val="0047276E"/>
    <w:rsid w:val="00493715"/>
    <w:rsid w:val="004C78AC"/>
    <w:rsid w:val="004D400C"/>
    <w:rsid w:val="004E6887"/>
    <w:rsid w:val="004F61B5"/>
    <w:rsid w:val="00502282"/>
    <w:rsid w:val="00506A46"/>
    <w:rsid w:val="00542EA5"/>
    <w:rsid w:val="00564ECA"/>
    <w:rsid w:val="0057419A"/>
    <w:rsid w:val="005956CC"/>
    <w:rsid w:val="005A3899"/>
    <w:rsid w:val="005A6A63"/>
    <w:rsid w:val="005B6E88"/>
    <w:rsid w:val="005C2E1F"/>
    <w:rsid w:val="005F76C4"/>
    <w:rsid w:val="00636AC9"/>
    <w:rsid w:val="00660051"/>
    <w:rsid w:val="006A057C"/>
    <w:rsid w:val="006B7551"/>
    <w:rsid w:val="006F52BC"/>
    <w:rsid w:val="006F57FC"/>
    <w:rsid w:val="00703646"/>
    <w:rsid w:val="00710AE6"/>
    <w:rsid w:val="007123D5"/>
    <w:rsid w:val="0071566C"/>
    <w:rsid w:val="00765583"/>
    <w:rsid w:val="00781A67"/>
    <w:rsid w:val="00785F9B"/>
    <w:rsid w:val="007C58B3"/>
    <w:rsid w:val="007D0CCC"/>
    <w:rsid w:val="007D617C"/>
    <w:rsid w:val="0084359A"/>
    <w:rsid w:val="00856D4A"/>
    <w:rsid w:val="0088134B"/>
    <w:rsid w:val="008910B9"/>
    <w:rsid w:val="008A63B6"/>
    <w:rsid w:val="008B3F26"/>
    <w:rsid w:val="008D0140"/>
    <w:rsid w:val="008D64C8"/>
    <w:rsid w:val="00922335"/>
    <w:rsid w:val="00944E9A"/>
    <w:rsid w:val="00956FAD"/>
    <w:rsid w:val="00994192"/>
    <w:rsid w:val="00A0088F"/>
    <w:rsid w:val="00A06A4B"/>
    <w:rsid w:val="00A11AE9"/>
    <w:rsid w:val="00A30407"/>
    <w:rsid w:val="00A424ED"/>
    <w:rsid w:val="00A55FB9"/>
    <w:rsid w:val="00A63C04"/>
    <w:rsid w:val="00AA283B"/>
    <w:rsid w:val="00AB3033"/>
    <w:rsid w:val="00AE26E1"/>
    <w:rsid w:val="00B408EF"/>
    <w:rsid w:val="00B53BBC"/>
    <w:rsid w:val="00B700A8"/>
    <w:rsid w:val="00B7682B"/>
    <w:rsid w:val="00B87F10"/>
    <w:rsid w:val="00B970E2"/>
    <w:rsid w:val="00BB3331"/>
    <w:rsid w:val="00BC29E5"/>
    <w:rsid w:val="00BD3200"/>
    <w:rsid w:val="00BD3FA4"/>
    <w:rsid w:val="00C01C6A"/>
    <w:rsid w:val="00C606E1"/>
    <w:rsid w:val="00C86D8F"/>
    <w:rsid w:val="00C91D99"/>
    <w:rsid w:val="00CA2CB5"/>
    <w:rsid w:val="00CF1015"/>
    <w:rsid w:val="00CF5BC0"/>
    <w:rsid w:val="00D37D87"/>
    <w:rsid w:val="00D46380"/>
    <w:rsid w:val="00D658E5"/>
    <w:rsid w:val="00DD2384"/>
    <w:rsid w:val="00DD7D19"/>
    <w:rsid w:val="00DF4417"/>
    <w:rsid w:val="00DF6575"/>
    <w:rsid w:val="00E00C58"/>
    <w:rsid w:val="00E05A2A"/>
    <w:rsid w:val="00E26532"/>
    <w:rsid w:val="00E4266D"/>
    <w:rsid w:val="00E54878"/>
    <w:rsid w:val="00E708A0"/>
    <w:rsid w:val="00E9317B"/>
    <w:rsid w:val="00EA1F76"/>
    <w:rsid w:val="00EA4E81"/>
    <w:rsid w:val="00ED259E"/>
    <w:rsid w:val="00F61ABC"/>
    <w:rsid w:val="00FC507B"/>
    <w:rsid w:val="00FD34BF"/>
    <w:rsid w:val="00FD56CC"/>
    <w:rsid w:val="00FE1758"/>
    <w:rsid w:val="232B72C3"/>
    <w:rsid w:val="4C8A68FA"/>
    <w:rsid w:val="5A70D8C7"/>
    <w:rsid w:val="7CBDA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495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D87"/>
    <w:pPr>
      <w:spacing w:after="120" w:line="276" w:lineRule="auto"/>
    </w:pPr>
    <w:rPr>
      <w:rFonts w:ascii="Arial" w:hAnsi="Arial" w:cs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5A2A"/>
    <w:pPr>
      <w:keepNext/>
      <w:keepLines/>
      <w:shd w:val="clear" w:color="auto" w:fill="FFFFFF"/>
      <w:outlineLvl w:val="0"/>
    </w:pPr>
    <w:rPr>
      <w:rFonts w:cs="Times New Roman"/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F6575"/>
    <w:pPr>
      <w:keepNext/>
      <w:keepLines/>
      <w:spacing w:before="200"/>
      <w:outlineLvl w:val="1"/>
    </w:pPr>
    <w:rPr>
      <w:rFonts w:eastAsia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FA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F6575"/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E05A2A"/>
    <w:rPr>
      <w:rFonts w:ascii="Arial" w:hAnsi="Arial"/>
      <w:b/>
      <w:bCs/>
      <w:sz w:val="44"/>
      <w:szCs w:val="44"/>
      <w:shd w:val="clear" w:color="auto" w:fill="FFFFFF"/>
      <w:lang w:val="en-AU" w:eastAsia="en-US"/>
    </w:rPr>
  </w:style>
  <w:style w:type="paragraph" w:styleId="NormalWeb">
    <w:name w:val="Normal (Web)"/>
    <w:basedOn w:val="Normal"/>
    <w:uiPriority w:val="99"/>
    <w:unhideWhenUsed/>
    <w:rsid w:val="00446B06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Default">
    <w:name w:val="Default"/>
    <w:basedOn w:val="Normal"/>
    <w:rsid w:val="00446B06"/>
    <w:pPr>
      <w:autoSpaceDE w:val="0"/>
      <w:autoSpaceDN w:val="0"/>
    </w:pPr>
    <w:rPr>
      <w:rFonts w:ascii="Times New Roman Bold Italic MS" w:hAnsi="Times New Roman Bold Italic MS"/>
      <w:color w:val="000000"/>
      <w:lang w:val="en-US"/>
    </w:rPr>
  </w:style>
  <w:style w:type="paragraph" w:customStyle="1" w:styleId="default0">
    <w:name w:val="default"/>
    <w:basedOn w:val="Normal"/>
    <w:rsid w:val="00446B06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B0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04505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4505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06A46"/>
    <w:pPr>
      <w:widowControl w:val="0"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kern w:val="28"/>
      <w:sz w:val="20"/>
      <w:szCs w:val="20"/>
      <w:lang w:eastAsia="en-AU"/>
    </w:rPr>
  </w:style>
  <w:style w:type="character" w:customStyle="1" w:styleId="Heading3Char">
    <w:name w:val="Heading 3 Char"/>
    <w:link w:val="Heading3"/>
    <w:uiPriority w:val="9"/>
    <w:rsid w:val="00956FAD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nhideWhenUsed/>
    <w:rsid w:val="005956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956C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56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56CC"/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E9317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E9317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17B"/>
    <w:pPr>
      <w:numPr>
        <w:ilvl w:val="1"/>
      </w:numPr>
      <w:spacing w:after="200"/>
    </w:pPr>
    <w:rPr>
      <w:rFonts w:ascii="Cambria" w:eastAsia="Times New Roman" w:hAnsi="Cambria" w:cs="Times New Roman"/>
      <w:i/>
      <w:iCs/>
      <w:color w:val="4F81BD"/>
      <w:spacing w:val="15"/>
      <w:lang w:val="en-US" w:eastAsia="ja-JP"/>
    </w:rPr>
  </w:style>
  <w:style w:type="character" w:customStyle="1" w:styleId="SubtitleChar">
    <w:name w:val="Subtitle Char"/>
    <w:link w:val="Subtitle"/>
    <w:uiPriority w:val="11"/>
    <w:rsid w:val="00E9317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9317B"/>
    <w:pPr>
      <w:spacing w:after="0"/>
      <w:outlineLvl w:val="9"/>
    </w:pPr>
    <w:rPr>
      <w:rFonts w:ascii="Cambria" w:hAnsi="Cambria"/>
      <w:color w:val="365F91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9317B"/>
    <w:pPr>
      <w:tabs>
        <w:tab w:val="right" w:leader="dot" w:pos="9016"/>
      </w:tabs>
      <w:spacing w:after="100"/>
    </w:pPr>
    <w:rPr>
      <w:rFonts w:ascii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E9317B"/>
    <w:rPr>
      <w:color w:val="0000FF"/>
      <w:u w:val="single"/>
    </w:rPr>
  </w:style>
  <w:style w:type="paragraph" w:customStyle="1" w:styleId="FSSBodyText">
    <w:name w:val="FSS Body Text"/>
    <w:qFormat/>
    <w:rsid w:val="00E9317B"/>
    <w:pPr>
      <w:spacing w:after="113" w:line="260" w:lineRule="atLeast"/>
    </w:pPr>
    <w:rPr>
      <w:rFonts w:ascii="Trebuchet MS" w:hAnsi="Trebuchet MS"/>
      <w:color w:val="1F497D"/>
      <w:lang w:val="en-AU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E9317B"/>
    <w:pPr>
      <w:spacing w:after="0" w:line="240" w:lineRule="auto"/>
      <w:ind w:left="720"/>
      <w:contextualSpacing/>
    </w:pPr>
    <w:rPr>
      <w:rFonts w:eastAsia="Times New Roman" w:cs="Times New Roman"/>
      <w:color w:val="000000"/>
      <w:szCs w:val="20"/>
    </w:rPr>
  </w:style>
  <w:style w:type="paragraph" w:styleId="NoSpacing">
    <w:name w:val="No Spacing"/>
    <w:link w:val="NoSpacingChar"/>
    <w:uiPriority w:val="1"/>
    <w:qFormat/>
    <w:rsid w:val="00E9317B"/>
    <w:rPr>
      <w:rFonts w:eastAsia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E9317B"/>
    <w:rPr>
      <w:rFonts w:eastAsia="Times New Roman"/>
      <w:lang w:val="en-US" w:eastAsia="ja-JP"/>
    </w:rPr>
  </w:style>
  <w:style w:type="character" w:styleId="FollowedHyperlink">
    <w:name w:val="FollowedHyperlink"/>
    <w:uiPriority w:val="99"/>
    <w:semiHidden/>
    <w:unhideWhenUsed/>
    <w:rsid w:val="008D0140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unhideWhenUsed/>
    <w:rsid w:val="00321957"/>
    <w:pPr>
      <w:spacing w:after="0" w:line="240" w:lineRule="auto"/>
      <w:jc w:val="both"/>
    </w:pPr>
    <w:rPr>
      <w:rFonts w:eastAsia="Times New Roman" w:cs="Times New Roman"/>
      <w:sz w:val="22"/>
      <w:szCs w:val="20"/>
      <w:lang w:val="en-GB"/>
    </w:rPr>
  </w:style>
  <w:style w:type="character" w:customStyle="1" w:styleId="BodyTextChar">
    <w:name w:val="Body Text Char"/>
    <w:link w:val="BodyText"/>
    <w:semiHidden/>
    <w:rsid w:val="00321957"/>
    <w:rPr>
      <w:rFonts w:ascii="Arial" w:eastAsia="Times New Roman" w:hAnsi="Arial"/>
      <w:sz w:val="22"/>
      <w:lang w:val="en-GB"/>
    </w:rPr>
  </w:style>
  <w:style w:type="character" w:styleId="BookTitle">
    <w:name w:val="Book Title"/>
    <w:uiPriority w:val="33"/>
    <w:qFormat/>
    <w:rsid w:val="00CF1015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E05A2A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isionaustralia.sharepoint.com/:w:/r/sites/AllVisionAustralia/Policies%20Procedures%20and%20Forms/Vision%20Australia%20Emergency%20Response%20Plan%20.docx?d=wb3d9877a2f784d91861ccc1825bb021e&amp;csf=1&amp;web=1&amp;e=OypG9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sionaustralia.sharepoint.com/:w:/r/sites/AllVisionAustralia/Policies%20Procedures%20and%20Forms/WHS%20Risk%20Management%20Procedure.docx?d=wcc09f9d8c7d94a37be97fcdff70a574d&amp;csf=1&amp;web=1&amp;e=70Ip9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isionaustralia.sharepoint.com/:w:/r/sites/AllVisionAustralia/Policies%20Procedures%20and%20Forms/Workplace%20Rehabilitation%20and%20Injury%20Management%20Policy.docx?d=w136cbee9faf145deb8483a98926958bc&amp;csf=1&amp;e=hi9akf" TargetMode="External"/><Relationship Id="rId4" Type="http://schemas.openxmlformats.org/officeDocument/2006/relationships/styles" Target="styles.xml"/><Relationship Id="rId9" Type="http://schemas.openxmlformats.org/officeDocument/2006/relationships/hyperlink" Target="https://visionaustralia.sharepoint.com/:w:/r/sites/AllVisionAustralia/Policies%20Procedures%20and%20Forms/WHS%20Consultation%20Procedure.docx?d=w0cef6f2d1a7c41519d38dbe95e964bfc&amp;csf=1&amp;web=1&amp;e=kqQTD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69268C4-DAEA-4540-9F1A-1F6C509F0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607AC2-9C35-4FAE-9A62-D3674E28FB5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2024-12-11T01:56:00Z</dcterms:created>
  <dcterms:modified xsi:type="dcterms:W3CDTF">2024-12-11T01:57:00Z</dcterms:modified>
</cp:coreProperties>
</file>