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03293" w14:textId="457B1BED" w:rsidR="0090539B" w:rsidRPr="0090539B" w:rsidRDefault="0090539B" w:rsidP="0090539B">
      <w:pPr>
        <w:pStyle w:val="Heading1"/>
        <w:rPr>
          <w:sz w:val="60"/>
          <w:szCs w:val="60"/>
        </w:rPr>
      </w:pPr>
      <w:r w:rsidRPr="0284F34A">
        <w:rPr>
          <w:sz w:val="60"/>
          <w:szCs w:val="60"/>
        </w:rPr>
        <w:t xml:space="preserve">A guide to </w:t>
      </w:r>
      <w:r w:rsidR="00D82C6B" w:rsidRPr="0284F34A">
        <w:rPr>
          <w:sz w:val="60"/>
          <w:szCs w:val="60"/>
        </w:rPr>
        <w:t xml:space="preserve">transitioning to </w:t>
      </w:r>
      <w:r w:rsidRPr="0284F34A">
        <w:rPr>
          <w:sz w:val="60"/>
          <w:szCs w:val="60"/>
        </w:rPr>
        <w:t xml:space="preserve">the </w:t>
      </w:r>
      <w:r w:rsidR="00D82C6B" w:rsidRPr="0284F34A">
        <w:rPr>
          <w:sz w:val="60"/>
          <w:szCs w:val="60"/>
        </w:rPr>
        <w:t>Age</w:t>
      </w:r>
      <w:r w:rsidRPr="0284F34A">
        <w:rPr>
          <w:sz w:val="60"/>
          <w:szCs w:val="60"/>
        </w:rPr>
        <w:t xml:space="preserve"> Pension (Blind)</w:t>
      </w:r>
    </w:p>
    <w:p w14:paraId="6BBB8C46" w14:textId="77777777" w:rsidR="0090539B" w:rsidRDefault="0090539B" w:rsidP="0090539B">
      <w:pPr>
        <w:rPr>
          <w:lang w:val="en-US"/>
        </w:rPr>
      </w:pPr>
    </w:p>
    <w:p w14:paraId="6ECFB37E" w14:textId="77777777" w:rsidR="007028D5" w:rsidRDefault="007028D5" w:rsidP="0090539B">
      <w:pPr>
        <w:rPr>
          <w:lang w:val="en-US"/>
        </w:rPr>
      </w:pPr>
    </w:p>
    <w:p w14:paraId="6D4ECAD3" w14:textId="77777777" w:rsidR="0090539B" w:rsidRDefault="0090539B" w:rsidP="0090539B">
      <w:pPr>
        <w:rPr>
          <w:lang w:val="en-US"/>
        </w:rPr>
      </w:pPr>
    </w:p>
    <w:p w14:paraId="4AA827D4" w14:textId="377A03DB" w:rsidR="0090539B" w:rsidRDefault="0090539B" w:rsidP="0090539B">
      <w:pPr>
        <w:rPr>
          <w:lang w:val="en-US"/>
        </w:rPr>
      </w:pPr>
    </w:p>
    <w:p w14:paraId="29654F08" w14:textId="77777777" w:rsidR="0090539B" w:rsidRDefault="0090539B" w:rsidP="0090539B">
      <w:pPr>
        <w:rPr>
          <w:lang w:val="en-US"/>
        </w:rPr>
      </w:pPr>
    </w:p>
    <w:p w14:paraId="4062E5A6" w14:textId="2D10DBB6" w:rsidR="0090539B" w:rsidRDefault="0090539B">
      <w:pPr>
        <w:rPr>
          <w:lang w:val="en-US"/>
        </w:rPr>
      </w:pPr>
      <w:r w:rsidRPr="40B06196">
        <w:rPr>
          <w:lang w:val="en-US"/>
        </w:rPr>
        <w:br w:type="page"/>
      </w:r>
    </w:p>
    <w:p w14:paraId="6CFE0A71" w14:textId="75C725DB" w:rsidR="002D6F2B" w:rsidRPr="002D6F2B" w:rsidRDefault="002D6F2B" w:rsidP="002D6F2B">
      <w:pPr>
        <w:pStyle w:val="Heading2"/>
        <w:rPr>
          <w:sz w:val="32"/>
          <w:szCs w:val="32"/>
        </w:rPr>
      </w:pPr>
      <w:bookmarkStart w:id="0" w:name="_Toc449085540"/>
      <w:bookmarkStart w:id="1" w:name="_Toc449084337"/>
      <w:r w:rsidRPr="002D6F2B">
        <w:rPr>
          <w:sz w:val="32"/>
          <w:szCs w:val="32"/>
        </w:rPr>
        <w:lastRenderedPageBreak/>
        <w:t>About this guide</w:t>
      </w:r>
      <w:bookmarkEnd w:id="0"/>
    </w:p>
    <w:p w14:paraId="4D024D00" w14:textId="77777777" w:rsidR="002E5F70" w:rsidRDefault="008E77A5" w:rsidP="008E77A5">
      <w:pPr>
        <w:rPr>
          <w:rFonts w:eastAsia="Times New Roman"/>
          <w:bCs/>
          <w:szCs w:val="24"/>
        </w:rPr>
      </w:pPr>
      <w:r w:rsidRPr="008E77A5">
        <w:rPr>
          <w:rFonts w:eastAsia="Times New Roman"/>
          <w:bCs/>
          <w:szCs w:val="24"/>
        </w:rPr>
        <w:t>This guide is designed to help you determine whether transitioning from the Disability Support Pension</w:t>
      </w:r>
      <w:r w:rsidR="002E5F70">
        <w:rPr>
          <w:rFonts w:eastAsia="Times New Roman"/>
          <w:bCs/>
          <w:szCs w:val="24"/>
        </w:rPr>
        <w:t xml:space="preserve"> (DSP)</w:t>
      </w:r>
      <w:r w:rsidRPr="008E77A5">
        <w:rPr>
          <w:rFonts w:eastAsia="Times New Roman"/>
          <w:bCs/>
          <w:szCs w:val="24"/>
        </w:rPr>
        <w:t xml:space="preserve"> (Blind) to the Age Pension (Blind) is the right decision for you. </w:t>
      </w:r>
    </w:p>
    <w:p w14:paraId="74C3879E" w14:textId="77777777" w:rsidR="002E5F70" w:rsidRDefault="002E5F70" w:rsidP="008E77A5">
      <w:pPr>
        <w:rPr>
          <w:rFonts w:eastAsia="Times New Roman"/>
          <w:bCs/>
          <w:szCs w:val="24"/>
        </w:rPr>
      </w:pPr>
    </w:p>
    <w:p w14:paraId="28903846" w14:textId="1E87080E" w:rsidR="008E77A5" w:rsidRPr="008E77A5" w:rsidRDefault="008E77A5" w:rsidP="008E77A5">
      <w:pPr>
        <w:rPr>
          <w:rFonts w:eastAsia="Times New Roman"/>
          <w:bCs/>
          <w:szCs w:val="24"/>
        </w:rPr>
      </w:pPr>
      <w:r w:rsidRPr="008E77A5">
        <w:rPr>
          <w:rFonts w:eastAsia="Times New Roman"/>
          <w:bCs/>
          <w:szCs w:val="24"/>
        </w:rPr>
        <w:t xml:space="preserve">It </w:t>
      </w:r>
      <w:r w:rsidR="002E5F70">
        <w:rPr>
          <w:rFonts w:eastAsia="Times New Roman"/>
          <w:bCs/>
          <w:szCs w:val="24"/>
        </w:rPr>
        <w:t xml:space="preserve">will </w:t>
      </w:r>
      <w:r w:rsidRPr="008E77A5">
        <w:rPr>
          <w:rFonts w:eastAsia="Times New Roman"/>
          <w:bCs/>
          <w:szCs w:val="24"/>
        </w:rPr>
        <w:t>provide a clear comparison of the two pensions, highlighting:</w:t>
      </w:r>
    </w:p>
    <w:p w14:paraId="3FCBACF2" w14:textId="77777777" w:rsidR="008E77A5" w:rsidRPr="008E77A5" w:rsidRDefault="008E77A5" w:rsidP="008E77A5">
      <w:pPr>
        <w:rPr>
          <w:rFonts w:eastAsia="Times New Roman"/>
          <w:bCs/>
          <w:szCs w:val="24"/>
        </w:rPr>
      </w:pPr>
    </w:p>
    <w:p w14:paraId="03B69FC0" w14:textId="3D4CD36F" w:rsidR="008E77A5" w:rsidRPr="002E5F70" w:rsidRDefault="008E77A5" w:rsidP="002E5F70">
      <w:pPr>
        <w:pStyle w:val="ListParagraph"/>
        <w:numPr>
          <w:ilvl w:val="0"/>
          <w:numId w:val="5"/>
        </w:numPr>
        <w:rPr>
          <w:rFonts w:eastAsia="Times New Roman"/>
          <w:bCs/>
          <w:szCs w:val="24"/>
        </w:rPr>
      </w:pPr>
      <w:r w:rsidRPr="002E5F70">
        <w:rPr>
          <w:rFonts w:eastAsia="Times New Roman"/>
          <w:bCs/>
          <w:szCs w:val="24"/>
        </w:rPr>
        <w:t>What remains the same between the two pensions,</w:t>
      </w:r>
    </w:p>
    <w:p w14:paraId="101B4871" w14:textId="7E165620" w:rsidR="008E77A5" w:rsidRPr="002E5F70" w:rsidRDefault="002E5F70" w:rsidP="002E5F70">
      <w:pPr>
        <w:pStyle w:val="ListParagraph"/>
        <w:numPr>
          <w:ilvl w:val="0"/>
          <w:numId w:val="5"/>
        </w:numPr>
        <w:rPr>
          <w:rFonts w:eastAsia="Times New Roman"/>
          <w:bCs/>
          <w:szCs w:val="24"/>
        </w:rPr>
      </w:pPr>
      <w:r>
        <w:rPr>
          <w:rFonts w:eastAsia="Times New Roman"/>
          <w:bCs/>
          <w:szCs w:val="24"/>
        </w:rPr>
        <w:t>The k</w:t>
      </w:r>
      <w:r w:rsidR="008E77A5" w:rsidRPr="002E5F70">
        <w:rPr>
          <w:rFonts w:eastAsia="Times New Roman"/>
          <w:bCs/>
          <w:szCs w:val="24"/>
        </w:rPr>
        <w:t xml:space="preserve">ey differences between the </w:t>
      </w:r>
      <w:r>
        <w:rPr>
          <w:rFonts w:eastAsia="Times New Roman"/>
          <w:bCs/>
          <w:szCs w:val="24"/>
        </w:rPr>
        <w:t>DSP</w:t>
      </w:r>
      <w:r w:rsidR="008E77A5" w:rsidRPr="002E5F70">
        <w:rPr>
          <w:rFonts w:eastAsia="Times New Roman"/>
          <w:bCs/>
          <w:szCs w:val="24"/>
        </w:rPr>
        <w:t xml:space="preserve"> (Blind) and the Age Pension (Blind), and</w:t>
      </w:r>
    </w:p>
    <w:p w14:paraId="01B6D9AB" w14:textId="7DB62C53" w:rsidR="008E77A5" w:rsidRPr="002E5F70" w:rsidRDefault="00B92B44" w:rsidP="002E5F70">
      <w:pPr>
        <w:pStyle w:val="ListParagraph"/>
        <w:numPr>
          <w:ilvl w:val="0"/>
          <w:numId w:val="5"/>
        </w:numPr>
        <w:rPr>
          <w:rFonts w:eastAsia="Times New Roman"/>
          <w:bCs/>
          <w:szCs w:val="24"/>
        </w:rPr>
      </w:pPr>
      <w:r>
        <w:rPr>
          <w:rFonts w:eastAsia="Times New Roman"/>
          <w:bCs/>
          <w:szCs w:val="24"/>
        </w:rPr>
        <w:t>The i</w:t>
      </w:r>
      <w:r w:rsidR="008E77A5" w:rsidRPr="002E5F70">
        <w:rPr>
          <w:rFonts w:eastAsia="Times New Roman"/>
          <w:bCs/>
          <w:szCs w:val="24"/>
        </w:rPr>
        <w:t>mportant factors to consider before making your decision to transfer.</w:t>
      </w:r>
    </w:p>
    <w:p w14:paraId="5EC91497" w14:textId="77777777" w:rsidR="008E77A5" w:rsidRPr="008E77A5" w:rsidRDefault="008E77A5" w:rsidP="008E77A5">
      <w:pPr>
        <w:rPr>
          <w:rFonts w:eastAsia="Times New Roman"/>
          <w:bCs/>
          <w:szCs w:val="24"/>
        </w:rPr>
      </w:pPr>
    </w:p>
    <w:p w14:paraId="24D91459" w14:textId="1F9CF177" w:rsidR="008331CD" w:rsidRDefault="00F460DA" w:rsidP="008E77A5">
      <w:pPr>
        <w:rPr>
          <w:rFonts w:eastAsia="Times New Roman"/>
          <w:bCs/>
          <w:szCs w:val="24"/>
        </w:rPr>
      </w:pPr>
      <w:r w:rsidRPr="004E4504">
        <w:t>To help you make the most informed decision, this guide provides you with information on what will stay the same and what will change for you</w:t>
      </w:r>
      <w:r>
        <w:t xml:space="preserve"> if you make the </w:t>
      </w:r>
      <w:r w:rsidR="006B3348">
        <w:t>transition</w:t>
      </w:r>
      <w:r>
        <w:t>.</w:t>
      </w:r>
    </w:p>
    <w:p w14:paraId="2C3F518E" w14:textId="77777777" w:rsidR="008331CD" w:rsidRDefault="008331CD" w:rsidP="008331CD">
      <w:pPr>
        <w:rPr>
          <w:rFonts w:eastAsia="Times New Roman"/>
          <w:bCs/>
          <w:szCs w:val="24"/>
        </w:rPr>
      </w:pPr>
    </w:p>
    <w:p w14:paraId="70603AA0" w14:textId="77777777" w:rsidR="008331CD" w:rsidRDefault="008331CD" w:rsidP="008331CD">
      <w:pPr>
        <w:rPr>
          <w:rFonts w:eastAsia="Times New Roman"/>
          <w:bCs/>
          <w:szCs w:val="24"/>
        </w:rPr>
      </w:pPr>
    </w:p>
    <w:p w14:paraId="7D690DD9" w14:textId="77777777" w:rsidR="008331CD" w:rsidRDefault="008331CD" w:rsidP="008331CD">
      <w:pPr>
        <w:rPr>
          <w:rFonts w:eastAsia="Times New Roman"/>
          <w:bCs/>
          <w:szCs w:val="24"/>
        </w:rPr>
      </w:pPr>
    </w:p>
    <w:p w14:paraId="74755C15" w14:textId="77777777" w:rsidR="008331CD" w:rsidRDefault="008331CD" w:rsidP="008331CD">
      <w:pPr>
        <w:rPr>
          <w:rFonts w:eastAsia="Times New Roman"/>
          <w:bCs/>
          <w:szCs w:val="24"/>
        </w:rPr>
      </w:pPr>
    </w:p>
    <w:p w14:paraId="4508234B" w14:textId="77777777" w:rsidR="008331CD" w:rsidRDefault="008331CD" w:rsidP="008331CD">
      <w:pPr>
        <w:rPr>
          <w:rFonts w:eastAsia="Times New Roman"/>
          <w:bCs/>
          <w:szCs w:val="24"/>
        </w:rPr>
      </w:pPr>
    </w:p>
    <w:p w14:paraId="6F72221B" w14:textId="77777777" w:rsidR="008331CD" w:rsidRDefault="008331CD" w:rsidP="008331CD">
      <w:pPr>
        <w:rPr>
          <w:rFonts w:eastAsia="Times New Roman"/>
          <w:bCs/>
          <w:szCs w:val="24"/>
        </w:rPr>
      </w:pPr>
    </w:p>
    <w:p w14:paraId="15C6A091" w14:textId="77777777" w:rsidR="008331CD" w:rsidRDefault="008331CD" w:rsidP="008331CD">
      <w:pPr>
        <w:rPr>
          <w:rFonts w:eastAsia="Times New Roman"/>
          <w:bCs/>
          <w:szCs w:val="24"/>
        </w:rPr>
      </w:pPr>
    </w:p>
    <w:p w14:paraId="318BCDDD" w14:textId="77777777" w:rsidR="008331CD" w:rsidRDefault="008331CD" w:rsidP="008331CD">
      <w:pPr>
        <w:rPr>
          <w:rFonts w:eastAsia="Times New Roman"/>
          <w:bCs/>
          <w:szCs w:val="24"/>
        </w:rPr>
      </w:pPr>
    </w:p>
    <w:p w14:paraId="5E05142F" w14:textId="77777777" w:rsidR="008331CD" w:rsidRDefault="008331CD" w:rsidP="008331CD">
      <w:pPr>
        <w:rPr>
          <w:rFonts w:eastAsia="Times New Roman"/>
          <w:bCs/>
          <w:szCs w:val="24"/>
        </w:rPr>
      </w:pPr>
    </w:p>
    <w:p w14:paraId="629DCF34" w14:textId="77777777" w:rsidR="008331CD" w:rsidRDefault="008331CD" w:rsidP="008331CD">
      <w:pPr>
        <w:rPr>
          <w:rFonts w:eastAsia="Times New Roman"/>
          <w:bCs/>
          <w:szCs w:val="24"/>
        </w:rPr>
      </w:pPr>
    </w:p>
    <w:p w14:paraId="6707E112" w14:textId="77777777" w:rsidR="008331CD" w:rsidRDefault="008331CD" w:rsidP="008331CD">
      <w:pPr>
        <w:rPr>
          <w:rFonts w:eastAsia="Times New Roman"/>
          <w:bCs/>
          <w:szCs w:val="24"/>
        </w:rPr>
      </w:pPr>
    </w:p>
    <w:p w14:paraId="58B287E9" w14:textId="77777777" w:rsidR="008331CD" w:rsidRDefault="008331CD" w:rsidP="008331CD">
      <w:pPr>
        <w:rPr>
          <w:rFonts w:eastAsia="Times New Roman"/>
          <w:bCs/>
          <w:szCs w:val="24"/>
        </w:rPr>
      </w:pPr>
    </w:p>
    <w:p w14:paraId="40231A4B" w14:textId="77777777" w:rsidR="008331CD" w:rsidRDefault="008331CD" w:rsidP="008331CD">
      <w:pPr>
        <w:rPr>
          <w:rFonts w:eastAsia="Times New Roman"/>
          <w:bCs/>
          <w:szCs w:val="24"/>
        </w:rPr>
      </w:pPr>
    </w:p>
    <w:p w14:paraId="31524A4C" w14:textId="77777777" w:rsidR="008331CD" w:rsidRDefault="008331CD" w:rsidP="008331CD">
      <w:pPr>
        <w:rPr>
          <w:rFonts w:eastAsia="Times New Roman"/>
          <w:bCs/>
          <w:szCs w:val="24"/>
        </w:rPr>
      </w:pPr>
    </w:p>
    <w:p w14:paraId="38589D11" w14:textId="77777777" w:rsidR="008331CD" w:rsidRDefault="008331CD" w:rsidP="008331CD">
      <w:pPr>
        <w:rPr>
          <w:rFonts w:eastAsia="Times New Roman"/>
          <w:bCs/>
          <w:szCs w:val="24"/>
        </w:rPr>
      </w:pPr>
    </w:p>
    <w:p w14:paraId="058D9AE5" w14:textId="77777777" w:rsidR="008331CD" w:rsidRDefault="008331CD" w:rsidP="008331CD">
      <w:pPr>
        <w:rPr>
          <w:rFonts w:eastAsia="Times New Roman"/>
          <w:bCs/>
          <w:szCs w:val="24"/>
        </w:rPr>
      </w:pPr>
    </w:p>
    <w:p w14:paraId="2FDF602E" w14:textId="77777777" w:rsidR="008331CD" w:rsidRDefault="008331CD" w:rsidP="008331CD">
      <w:pPr>
        <w:pStyle w:val="Heading2"/>
        <w:rPr>
          <w:sz w:val="32"/>
          <w:szCs w:val="32"/>
        </w:rPr>
      </w:pPr>
    </w:p>
    <w:p w14:paraId="585B95FD" w14:textId="27798A49" w:rsidR="008331CD" w:rsidRPr="008331CD" w:rsidRDefault="008331CD" w:rsidP="008331CD">
      <w:pPr>
        <w:pStyle w:val="Heading2"/>
        <w:rPr>
          <w:sz w:val="32"/>
          <w:szCs w:val="32"/>
        </w:rPr>
      </w:pPr>
      <w:r w:rsidRPr="00654094">
        <w:rPr>
          <w:sz w:val="32"/>
          <w:szCs w:val="32"/>
        </w:rPr>
        <w:t>Disclaimer</w:t>
      </w:r>
    </w:p>
    <w:p w14:paraId="4C95FB4D" w14:textId="77777777" w:rsidR="008331CD" w:rsidRPr="00AA2997" w:rsidRDefault="008331CD" w:rsidP="008331CD">
      <w:pPr>
        <w:rPr>
          <w:rFonts w:eastAsia="Times New Roman"/>
          <w:bCs/>
          <w:szCs w:val="24"/>
        </w:rPr>
      </w:pPr>
      <w:r w:rsidRPr="009C4163">
        <w:t xml:space="preserve">Every effort has been made to ensure the information in this guide is accurate at the time of release. However, it is not an official </w:t>
      </w:r>
      <w:r>
        <w:t>Services Australia</w:t>
      </w:r>
      <w:r w:rsidRPr="009C4163">
        <w:t xml:space="preserve"> document and does not provide information which will always be applicable to individual circumstances. </w:t>
      </w:r>
      <w:r w:rsidRPr="00AA2997">
        <w:rPr>
          <w:rFonts w:eastAsia="Times New Roman"/>
          <w:bCs/>
          <w:szCs w:val="24"/>
        </w:rPr>
        <w:t>For information related to your individual circumstances, you will need to call Centrelink on 132 717.</w:t>
      </w:r>
    </w:p>
    <w:p w14:paraId="30D6A47F" w14:textId="77777777" w:rsidR="008331CD" w:rsidRPr="00AA2997" w:rsidRDefault="008331CD" w:rsidP="008331CD">
      <w:pPr>
        <w:rPr>
          <w:rFonts w:eastAsia="Times New Roman"/>
          <w:bCs/>
          <w:szCs w:val="24"/>
        </w:rPr>
      </w:pPr>
    </w:p>
    <w:p w14:paraId="357168B7" w14:textId="77777777" w:rsidR="008331CD" w:rsidRDefault="008331CD" w:rsidP="008331CD">
      <w:pPr>
        <w:rPr>
          <w:rFonts w:eastAsia="Times New Roman"/>
          <w:bCs/>
          <w:szCs w:val="24"/>
        </w:rPr>
      </w:pPr>
      <w:r w:rsidRPr="00AA2997">
        <w:rPr>
          <w:rFonts w:eastAsia="Times New Roman"/>
          <w:bCs/>
          <w:szCs w:val="24"/>
        </w:rPr>
        <w:t xml:space="preserve">At the time of review of this </w:t>
      </w:r>
      <w:r>
        <w:rPr>
          <w:rFonts w:eastAsia="Times New Roman"/>
          <w:bCs/>
          <w:szCs w:val="24"/>
        </w:rPr>
        <w:t>d</w:t>
      </w:r>
      <w:r w:rsidRPr="00AA2997">
        <w:rPr>
          <w:rFonts w:eastAsia="Times New Roman"/>
          <w:bCs/>
          <w:szCs w:val="24"/>
        </w:rPr>
        <w:t>ocument, Centrelink now operates as</w:t>
      </w:r>
      <w:r>
        <w:rPr>
          <w:rFonts w:eastAsia="Times New Roman"/>
          <w:bCs/>
          <w:szCs w:val="24"/>
        </w:rPr>
        <w:t xml:space="preserve"> a part of</w:t>
      </w:r>
      <w:r w:rsidRPr="00AA2997">
        <w:rPr>
          <w:rFonts w:eastAsia="Times New Roman"/>
          <w:bCs/>
          <w:szCs w:val="24"/>
        </w:rPr>
        <w:t xml:space="preserve"> Services Australia. </w:t>
      </w:r>
      <w:r>
        <w:rPr>
          <w:rFonts w:eastAsia="Times New Roman"/>
          <w:bCs/>
          <w:szCs w:val="24"/>
        </w:rPr>
        <w:t>The phone numbers</w:t>
      </w:r>
      <w:r w:rsidRPr="00AA2997">
        <w:rPr>
          <w:rFonts w:eastAsia="Times New Roman"/>
          <w:bCs/>
          <w:szCs w:val="24"/>
        </w:rPr>
        <w:t xml:space="preserve"> and links </w:t>
      </w:r>
      <w:r>
        <w:rPr>
          <w:rFonts w:eastAsia="Times New Roman"/>
          <w:bCs/>
          <w:szCs w:val="24"/>
        </w:rPr>
        <w:t xml:space="preserve">throughout this document that </w:t>
      </w:r>
      <w:r w:rsidRPr="00AA2997">
        <w:rPr>
          <w:rFonts w:eastAsia="Times New Roman"/>
          <w:bCs/>
          <w:szCs w:val="24"/>
        </w:rPr>
        <w:t>relate to Centrelink will reach Services Australia.</w:t>
      </w:r>
    </w:p>
    <w:p w14:paraId="74561461" w14:textId="77777777" w:rsidR="008331CD" w:rsidRDefault="008331CD" w:rsidP="008331CD">
      <w:pPr>
        <w:rPr>
          <w:rFonts w:eastAsia="Times New Roman"/>
          <w:bCs/>
          <w:szCs w:val="24"/>
        </w:rPr>
      </w:pPr>
    </w:p>
    <w:p w14:paraId="048E16EB" w14:textId="77777777" w:rsidR="002D6F2B" w:rsidRPr="002D6F2B" w:rsidRDefault="002D6F2B" w:rsidP="002D6F2B">
      <w:pPr>
        <w:ind w:left="720"/>
        <w:rPr>
          <w:rFonts w:eastAsia="Times New Roman"/>
          <w:bCs/>
          <w:szCs w:val="24"/>
        </w:rPr>
      </w:pPr>
    </w:p>
    <w:bookmarkEnd w:id="1"/>
    <w:p w14:paraId="7930C66F" w14:textId="2AB454B6" w:rsidR="009C4163" w:rsidRPr="00B92B44" w:rsidRDefault="00B92B44" w:rsidP="6F48494F">
      <w:pPr>
        <w:rPr>
          <w:rStyle w:val="Heading2Char"/>
          <w:rFonts w:eastAsiaTheme="minorEastAsia"/>
          <w:sz w:val="32"/>
          <w:szCs w:val="32"/>
        </w:rPr>
      </w:pPr>
      <w:r w:rsidRPr="6F48494F">
        <w:rPr>
          <w:rStyle w:val="Heading2Char"/>
          <w:rFonts w:eastAsiaTheme="minorEastAsia"/>
          <w:sz w:val="32"/>
          <w:szCs w:val="32"/>
        </w:rPr>
        <w:lastRenderedPageBreak/>
        <w:t>A G</w:t>
      </w:r>
      <w:r w:rsidR="009C4163" w:rsidRPr="6F48494F">
        <w:rPr>
          <w:rStyle w:val="Heading2Char"/>
          <w:rFonts w:eastAsiaTheme="minorEastAsia"/>
          <w:sz w:val="32"/>
          <w:szCs w:val="32"/>
        </w:rPr>
        <w:t>eneral Overview</w:t>
      </w:r>
    </w:p>
    <w:p w14:paraId="3EA8F156" w14:textId="77777777" w:rsidR="00B92B44" w:rsidRDefault="00B92B44" w:rsidP="004E4504"/>
    <w:p w14:paraId="1CEAD627" w14:textId="64DF9B0F" w:rsidR="00D767CF" w:rsidRDefault="00D767CF" w:rsidP="00D767CF">
      <w:r>
        <w:t>When you reach the age for the Age Pension and are already receiving the DSP (Blind), Services Australia will send you a letter</w:t>
      </w:r>
      <w:r w:rsidR="5CDC8932">
        <w:t xml:space="preserve"> 13 weeks before you reach the Age Pension age,</w:t>
      </w:r>
      <w:r>
        <w:t xml:space="preserve"> asking if you want to transfer to the Age Pension (Blind).</w:t>
      </w:r>
    </w:p>
    <w:p w14:paraId="096D6188" w14:textId="77777777" w:rsidR="00D767CF" w:rsidRDefault="00D767CF" w:rsidP="00D767CF"/>
    <w:p w14:paraId="66CB6FB6" w14:textId="6697C2EA" w:rsidR="00D767CF" w:rsidRDefault="00D767CF" w:rsidP="00D767CF">
      <w:r>
        <w:t xml:space="preserve">It's important to note that the decision to transfer to the Age Pension (Blind) is entirely up to you. </w:t>
      </w:r>
    </w:p>
    <w:p w14:paraId="78265362" w14:textId="77777777" w:rsidR="00D767CF" w:rsidRDefault="00D767CF" w:rsidP="00D767CF"/>
    <w:p w14:paraId="7159BFCC" w14:textId="77777777" w:rsidR="00D767CF" w:rsidRDefault="00D767CF" w:rsidP="00D767CF">
      <w:r>
        <w:t>To be eligible for either pension, you must be assessed as having permanent blindness, which qualifies you as "manifestly eligible."</w:t>
      </w:r>
    </w:p>
    <w:p w14:paraId="0BB7739E" w14:textId="77777777" w:rsidR="00D767CF" w:rsidRDefault="00D767CF" w:rsidP="00D767CF"/>
    <w:p w14:paraId="7B4ED615" w14:textId="3A932794" w:rsidR="006E360C" w:rsidRDefault="00D767CF" w:rsidP="00D767CF">
      <w:r>
        <w:t>Remember that if you choose to make the change, you cannot transfer back to the DSP (Blind).</w:t>
      </w:r>
    </w:p>
    <w:p w14:paraId="35416E96" w14:textId="1961BE9B" w:rsidR="006E360C" w:rsidRDefault="252F9B8A" w:rsidP="0284F34A">
      <w:pPr>
        <w:shd w:val="clear" w:color="auto" w:fill="FFFFFF" w:themeFill="background1"/>
        <w:spacing w:before="360"/>
        <w:rPr>
          <w:rFonts w:eastAsia="Aptos" w:cs="Aptos"/>
          <w:color w:val="000000" w:themeColor="text1"/>
          <w:szCs w:val="24"/>
        </w:rPr>
      </w:pPr>
      <w:r w:rsidRPr="0284F34A">
        <w:rPr>
          <w:rFonts w:eastAsia="Aptos" w:cs="Aptos"/>
          <w:color w:val="000000" w:themeColor="text1"/>
          <w:szCs w:val="24"/>
        </w:rPr>
        <w:t>To meet the permanent blindness medical rules to qualify for either pension, you must have one of the following:</w:t>
      </w:r>
    </w:p>
    <w:p w14:paraId="71DABEDD" w14:textId="3D5980D7" w:rsidR="006E360C" w:rsidRDefault="006E360C" w:rsidP="0284F34A">
      <w:pPr>
        <w:shd w:val="clear" w:color="auto" w:fill="FFFFFF" w:themeFill="background1"/>
        <w:ind w:left="720"/>
        <w:rPr>
          <w:rFonts w:eastAsia="Aptos" w:cs="Aptos"/>
          <w:color w:val="000000" w:themeColor="text1"/>
          <w:szCs w:val="24"/>
          <w:lang w:val="en-US"/>
        </w:rPr>
      </w:pPr>
    </w:p>
    <w:p w14:paraId="2405DF13" w14:textId="1FD4F24E" w:rsidR="006E360C" w:rsidRDefault="252F9B8A" w:rsidP="0284F34A">
      <w:pPr>
        <w:pStyle w:val="ListParagraph"/>
        <w:numPr>
          <w:ilvl w:val="0"/>
          <w:numId w:val="1"/>
        </w:numPr>
        <w:shd w:val="clear" w:color="auto" w:fill="FFFFFF" w:themeFill="background1"/>
        <w:rPr>
          <w:rFonts w:eastAsia="Aptos" w:cs="Aptos"/>
          <w:color w:val="000000" w:themeColor="text1"/>
          <w:szCs w:val="24"/>
          <w:lang w:val="en-US"/>
        </w:rPr>
      </w:pPr>
      <w:r w:rsidRPr="0284F34A">
        <w:rPr>
          <w:rFonts w:eastAsia="Aptos" w:cs="Aptos"/>
          <w:color w:val="000000" w:themeColor="text1"/>
          <w:szCs w:val="24"/>
        </w:rPr>
        <w:t>Visual acuity on the Snellen Scale, after correction with suitable prescription lenses, must be less than 6/60 in both eyes,</w:t>
      </w:r>
    </w:p>
    <w:p w14:paraId="4A7C17FD" w14:textId="0FAA8727" w:rsidR="006E360C" w:rsidRDefault="252F9B8A" w:rsidP="0284F34A">
      <w:pPr>
        <w:pStyle w:val="ListParagraph"/>
        <w:numPr>
          <w:ilvl w:val="0"/>
          <w:numId w:val="1"/>
        </w:numPr>
        <w:shd w:val="clear" w:color="auto" w:fill="FFFFFF" w:themeFill="background1"/>
        <w:rPr>
          <w:rFonts w:eastAsia="Aptos" w:cs="Aptos"/>
          <w:color w:val="000000" w:themeColor="text1"/>
          <w:szCs w:val="24"/>
          <w:lang w:val="en-US"/>
        </w:rPr>
      </w:pPr>
      <w:r w:rsidRPr="0284F34A">
        <w:rPr>
          <w:rFonts w:eastAsia="Aptos" w:cs="Aptos"/>
          <w:color w:val="000000" w:themeColor="text1"/>
          <w:szCs w:val="24"/>
        </w:rPr>
        <w:t>Constriction of the visual field to within 10 degrees of fixation in the better eye, regardless of corrected visual acuity, or</w:t>
      </w:r>
    </w:p>
    <w:p w14:paraId="1EC54A64" w14:textId="6B8BE956" w:rsidR="006E360C" w:rsidRDefault="252F9B8A" w:rsidP="0284F34A">
      <w:pPr>
        <w:pStyle w:val="ListParagraph"/>
        <w:numPr>
          <w:ilvl w:val="0"/>
          <w:numId w:val="1"/>
        </w:numPr>
        <w:shd w:val="clear" w:color="auto" w:fill="FFFFFF" w:themeFill="background1"/>
        <w:rPr>
          <w:rFonts w:eastAsia="Aptos" w:cs="Aptos"/>
          <w:color w:val="000000" w:themeColor="text1"/>
          <w:szCs w:val="24"/>
          <w:lang w:val="en-US"/>
        </w:rPr>
      </w:pPr>
      <w:r w:rsidRPr="0284F34A">
        <w:rPr>
          <w:rFonts w:eastAsia="Aptos" w:cs="Aptos"/>
          <w:color w:val="000000" w:themeColor="text1"/>
          <w:szCs w:val="24"/>
        </w:rPr>
        <w:t>A combination of vision conditions that result in the same degree of vision loss as the two above.</w:t>
      </w:r>
    </w:p>
    <w:p w14:paraId="0E528EB0" w14:textId="6B24E7D0" w:rsidR="006E360C" w:rsidRDefault="00D767CF" w:rsidP="00D767CF">
      <w:r>
        <w:br/>
      </w:r>
      <w:r>
        <w:br/>
      </w:r>
    </w:p>
    <w:p w14:paraId="5EE05E6B" w14:textId="032DF86C" w:rsidR="004D7ED0" w:rsidRPr="004D7ED0" w:rsidRDefault="006E360C" w:rsidP="004D7ED0">
      <w:r>
        <w:br w:type="page"/>
      </w:r>
    </w:p>
    <w:p w14:paraId="5937EB12" w14:textId="2AEF19DE" w:rsidR="7F8AC682" w:rsidRDefault="7F8AC682" w:rsidP="0284F34A">
      <w:pPr>
        <w:pStyle w:val="Heading2"/>
        <w:rPr>
          <w:sz w:val="32"/>
          <w:szCs w:val="32"/>
        </w:rPr>
      </w:pPr>
      <w:r w:rsidRPr="0284F34A">
        <w:rPr>
          <w:sz w:val="32"/>
          <w:szCs w:val="32"/>
        </w:rPr>
        <w:lastRenderedPageBreak/>
        <w:t>What stays the same between both</w:t>
      </w:r>
      <w:r w:rsidR="2AE2B197" w:rsidRPr="0284F34A">
        <w:rPr>
          <w:sz w:val="32"/>
          <w:szCs w:val="32"/>
        </w:rPr>
        <w:t xml:space="preserve"> </w:t>
      </w:r>
      <w:r w:rsidR="03701A43" w:rsidRPr="0284F34A">
        <w:rPr>
          <w:sz w:val="32"/>
          <w:szCs w:val="32"/>
        </w:rPr>
        <w:t>pensions</w:t>
      </w:r>
    </w:p>
    <w:p w14:paraId="3BC3BF78" w14:textId="3C9C15A8" w:rsidR="008460CD" w:rsidRPr="002D4121" w:rsidRDefault="008460CD" w:rsidP="1D4B18D6">
      <w:pPr>
        <w:pStyle w:val="Heading3"/>
        <w:rPr>
          <w:sz w:val="28"/>
          <w:szCs w:val="28"/>
        </w:rPr>
      </w:pPr>
      <w:r>
        <w:t>Payment rates</w:t>
      </w:r>
    </w:p>
    <w:p w14:paraId="09E8A020" w14:textId="6F3D7ACB" w:rsidR="008460CD" w:rsidRDefault="008460CD">
      <w:r>
        <w:t>These will vary depending on your</w:t>
      </w:r>
      <w:r w:rsidR="00D0242E">
        <w:t xml:space="preserve"> individual</w:t>
      </w:r>
      <w:r>
        <w:t xml:space="preserve"> circumstances, but the base payment rate for both pensions will remain the same.</w:t>
      </w:r>
    </w:p>
    <w:p w14:paraId="1C2E5022" w14:textId="015C8C0C" w:rsidR="1D4B18D6" w:rsidRDefault="1D4B18D6" w:rsidP="1D4B18D6">
      <w:pPr>
        <w:rPr>
          <w:sz w:val="16"/>
          <w:szCs w:val="16"/>
        </w:rPr>
      </w:pPr>
    </w:p>
    <w:p w14:paraId="798918AB" w14:textId="1CCE4081" w:rsidR="008460CD" w:rsidRPr="005241F9" w:rsidRDefault="19724581" w:rsidP="1D4B18D6">
      <w:pPr>
        <w:pStyle w:val="Heading3"/>
        <w:rPr>
          <w:sz w:val="28"/>
          <w:szCs w:val="28"/>
        </w:rPr>
      </w:pPr>
      <w:r>
        <w:t>I</w:t>
      </w:r>
      <w:r w:rsidR="008460CD">
        <w:t>ncome and asset test</w:t>
      </w:r>
      <w:r w:rsidR="00EC6829">
        <w:t>ing</w:t>
      </w:r>
    </w:p>
    <w:p w14:paraId="13161526" w14:textId="22638FFB" w:rsidR="004E4504" w:rsidRPr="004E4504" w:rsidRDefault="477CB052" w:rsidP="0284F34A">
      <w:pPr>
        <w:rPr>
          <w:rFonts w:eastAsia="Aptos" w:cs="Aptos"/>
          <w:szCs w:val="24"/>
        </w:rPr>
      </w:pPr>
      <w:r w:rsidRPr="0284F34A">
        <w:rPr>
          <w:rFonts w:eastAsia="Aptos" w:cs="Aptos"/>
          <w:szCs w:val="24"/>
        </w:rPr>
        <w:t>Both the DSP (Blind) and Age Pension (Blind) are generally exempt from income and asset testing if you are permanently blind and not receiving Rent Assistance.</w:t>
      </w:r>
      <w:r w:rsidR="004E4504">
        <w:t xml:space="preserve"> </w:t>
      </w:r>
    </w:p>
    <w:p w14:paraId="5C8E7D84" w14:textId="21E8EEBA" w:rsidR="004E4504" w:rsidRPr="004E4504" w:rsidRDefault="004E4504" w:rsidP="0284F34A"/>
    <w:p w14:paraId="050CC9E5" w14:textId="4CEC660B" w:rsidR="004E4504" w:rsidRPr="004E4504" w:rsidRDefault="004E4504" w:rsidP="0284F34A">
      <w:pPr>
        <w:rPr>
          <w:rFonts w:eastAsia="Aptos" w:cs="Aptos"/>
          <w:szCs w:val="24"/>
        </w:rPr>
      </w:pPr>
      <w:r>
        <w:t xml:space="preserve">Rent Assistance is income and asset tested, so if you receive this you will be required to fill out an </w:t>
      </w:r>
      <w:hyperlink r:id="rId10">
        <w:r w:rsidR="00030139" w:rsidRPr="0284F34A">
          <w:rPr>
            <w:rStyle w:val="Hyperlink"/>
          </w:rPr>
          <w:t>Income and Assets Form</w:t>
        </w:r>
      </w:hyperlink>
      <w:r>
        <w:t xml:space="preserve"> for either pension type.</w:t>
      </w:r>
    </w:p>
    <w:p w14:paraId="519654F8" w14:textId="58E780CA" w:rsidR="00785657" w:rsidRDefault="00785657" w:rsidP="0284F34A">
      <w:pPr>
        <w:pStyle w:val="Heading2"/>
        <w:rPr>
          <w:rFonts w:eastAsiaTheme="minorEastAsia"/>
          <w:b w:val="0"/>
          <w:sz w:val="24"/>
          <w:szCs w:val="24"/>
          <w:lang w:val="en-AU"/>
        </w:rPr>
      </w:pPr>
      <w:r w:rsidRPr="1D4B18D6">
        <w:rPr>
          <w:rFonts w:eastAsiaTheme="minorEastAsia"/>
          <w:b w:val="0"/>
          <w:sz w:val="24"/>
          <w:szCs w:val="24"/>
          <w:lang w:val="en-AU"/>
        </w:rPr>
        <w:t>If you are already receiving the Age Pension (Blind), you may qualify for a higher land exemption from asset tests than is allowed on the DSP (Blind). This applies if your home is on a single title and sits on land larger than two hectares.</w:t>
      </w:r>
    </w:p>
    <w:p w14:paraId="6899CEC1" w14:textId="3BEC095E" w:rsidR="1D4B18D6" w:rsidRDefault="1D4B18D6" w:rsidP="1D4B18D6">
      <w:pPr>
        <w:rPr>
          <w:sz w:val="16"/>
          <w:szCs w:val="16"/>
        </w:rPr>
      </w:pPr>
    </w:p>
    <w:p w14:paraId="0B4D6ABD" w14:textId="18DC3B38" w:rsidR="00CE6171" w:rsidRPr="000756EF" w:rsidRDefault="008460CD" w:rsidP="1D4B18D6">
      <w:pPr>
        <w:pStyle w:val="Heading3"/>
        <w:rPr>
          <w:sz w:val="28"/>
          <w:szCs w:val="28"/>
        </w:rPr>
      </w:pPr>
      <w:r>
        <w:t xml:space="preserve">Taxable income </w:t>
      </w:r>
    </w:p>
    <w:p w14:paraId="3A9F931F" w14:textId="7903C1E9" w:rsidR="00A1580E" w:rsidRDefault="00A1580E">
      <w:r>
        <w:t>The DSP (Blind) remains tax exempt until you hit the age to receive the Age Pension. T</w:t>
      </w:r>
      <w:r w:rsidR="007314F3">
        <w:t xml:space="preserve">hen, once you reach </w:t>
      </w:r>
      <w:r w:rsidR="008460CD">
        <w:t xml:space="preserve">retirement age, both the DSP (Blind) and the Age Pension (Blind) are considered taxable income. </w:t>
      </w:r>
    </w:p>
    <w:p w14:paraId="166E5684" w14:textId="0593EEA2" w:rsidR="0284F34A" w:rsidRDefault="0284F34A"/>
    <w:p w14:paraId="22957A65" w14:textId="5E33D899" w:rsidR="008460CD" w:rsidRDefault="008460CD">
      <w:r>
        <w:t xml:space="preserve">This will not change if you transfer </w:t>
      </w:r>
      <w:r w:rsidR="007314F3">
        <w:t xml:space="preserve">from the DSP (Blind) </w:t>
      </w:r>
      <w:r>
        <w:t>to the Age Pension (Blind).</w:t>
      </w:r>
    </w:p>
    <w:p w14:paraId="57BC3AE6" w14:textId="6FC2CC10" w:rsidR="1D4B18D6" w:rsidRDefault="1D4B18D6" w:rsidP="1D4B18D6">
      <w:pPr>
        <w:rPr>
          <w:sz w:val="16"/>
          <w:szCs w:val="16"/>
        </w:rPr>
      </w:pPr>
    </w:p>
    <w:p w14:paraId="318584D4" w14:textId="77777777" w:rsidR="008460CD" w:rsidRPr="00AB2A56" w:rsidRDefault="008460CD" w:rsidP="1D4B18D6">
      <w:pPr>
        <w:pStyle w:val="Heading3"/>
      </w:pPr>
      <w:r>
        <w:t xml:space="preserve">Concession Card </w:t>
      </w:r>
    </w:p>
    <w:p w14:paraId="34FB5C1A" w14:textId="55F12B0C" w:rsidR="008460CD" w:rsidRDefault="008460CD">
      <w:r>
        <w:t>Your access to a concession card will remain the same for both pensions. You</w:t>
      </w:r>
      <w:r w:rsidR="007F4BF9">
        <w:t xml:space="preserve"> will</w:t>
      </w:r>
      <w:r>
        <w:t xml:space="preserve"> also retain access to the </w:t>
      </w:r>
      <w:hyperlink r:id="rId11">
        <w:r w:rsidRPr="1D4B18D6">
          <w:rPr>
            <w:rStyle w:val="Hyperlink"/>
          </w:rPr>
          <w:t>Work Bonus</w:t>
        </w:r>
      </w:hyperlink>
      <w:r>
        <w:t xml:space="preserve"> if you transfer</w:t>
      </w:r>
      <w:r w:rsidR="007F4BF9">
        <w:t xml:space="preserve"> between the two</w:t>
      </w:r>
      <w:r>
        <w:t>.</w:t>
      </w:r>
    </w:p>
    <w:p w14:paraId="08FF2DA1" w14:textId="5F429A26" w:rsidR="1D4B18D6" w:rsidRDefault="1D4B18D6"/>
    <w:p w14:paraId="06B8B46C" w14:textId="77777777" w:rsidR="008460CD" w:rsidRPr="00BE102A" w:rsidRDefault="008460CD" w:rsidP="1D4B18D6">
      <w:pPr>
        <w:pStyle w:val="Heading3"/>
      </w:pPr>
      <w:r>
        <w:t>Supporting medical evidence</w:t>
      </w:r>
    </w:p>
    <w:p w14:paraId="70684C87" w14:textId="1D8019FF" w:rsidR="7AB1BDD5" w:rsidRDefault="7AB1BDD5">
      <w:r w:rsidRPr="1D4B18D6">
        <w:rPr>
          <w:rFonts w:eastAsia="Aptos" w:cs="Aptos"/>
          <w:szCs w:val="24"/>
        </w:rPr>
        <w:t xml:space="preserve">Under both pensions, once you qualify as permanently blind, </w:t>
      </w:r>
      <w:r w:rsidR="77D08FFB" w:rsidRPr="1D4B18D6">
        <w:rPr>
          <w:rFonts w:eastAsia="Aptos" w:cs="Aptos"/>
          <w:szCs w:val="24"/>
        </w:rPr>
        <w:t>y</w:t>
      </w:r>
      <w:r w:rsidR="77D08FFB">
        <w:t>ou do not need to provide any other medical evidence to satisfy the criteria for permanent blindness.</w:t>
      </w:r>
    </w:p>
    <w:p w14:paraId="63195386" w14:textId="1EBF6A98" w:rsidR="1D4B18D6" w:rsidRDefault="1D4B18D6"/>
    <w:p w14:paraId="452CCD28" w14:textId="5D5AF431" w:rsidR="000133F0" w:rsidRDefault="000133F0" w:rsidP="0284F34A">
      <w:r>
        <w:t xml:space="preserve">You need your ophthalmologist to complete a report that includes information about the diagnosis, treatment, symptoms, functional impact and prognosis of your vision. </w:t>
      </w:r>
      <w:r w:rsidR="004D09D6">
        <w:t xml:space="preserve">They will need </w:t>
      </w:r>
      <w:r>
        <w:t xml:space="preserve">to fill out </w:t>
      </w:r>
      <w:hyperlink r:id="rId12">
        <w:r w:rsidRPr="732A70E6">
          <w:rPr>
            <w:rStyle w:val="Hyperlink"/>
          </w:rPr>
          <w:t>form SA-013</w:t>
        </w:r>
      </w:hyperlink>
      <w:r>
        <w:t xml:space="preserve"> to provide evidence of</w:t>
      </w:r>
      <w:r w:rsidR="0F2F2C64">
        <w:t xml:space="preserve"> your</w:t>
      </w:r>
      <w:r>
        <w:t xml:space="preserve"> permanent blindness</w:t>
      </w:r>
      <w:r w:rsidR="570075AE">
        <w:t xml:space="preserve"> and visual acuity</w:t>
      </w:r>
      <w:r>
        <w:t xml:space="preserve">. </w:t>
      </w:r>
    </w:p>
    <w:p w14:paraId="62C758F0" w14:textId="77777777" w:rsidR="000133F0" w:rsidRPr="005B5BA2" w:rsidRDefault="000133F0" w:rsidP="000133F0">
      <w:pPr>
        <w:rPr>
          <w:bCs/>
          <w:szCs w:val="24"/>
        </w:rPr>
      </w:pPr>
    </w:p>
    <w:p w14:paraId="0C612104" w14:textId="224EE59A" w:rsidR="004D09D6" w:rsidRPr="005B5BA2" w:rsidRDefault="000133F0" w:rsidP="000133F0">
      <w:r>
        <w:t>You can ask your optometrist to fill out this form instead. However, they need to provide details of your treating or formerly treating ophthalmologist</w:t>
      </w:r>
      <w:r w:rsidR="3DC82383">
        <w:t xml:space="preserve"> </w:t>
      </w:r>
      <w:r>
        <w:t>and clearly indicate the last referral they provided.</w:t>
      </w:r>
    </w:p>
    <w:p w14:paraId="47809874" w14:textId="06A62F0C" w:rsidR="0284F34A" w:rsidRDefault="0284F34A">
      <w:r>
        <w:br w:type="page"/>
      </w:r>
    </w:p>
    <w:p w14:paraId="411E32C6" w14:textId="3F46E7EB" w:rsidR="0284F34A" w:rsidRDefault="0284F34A" w:rsidP="0284F34A"/>
    <w:p w14:paraId="12716CF9" w14:textId="3625CF81" w:rsidR="008460CD" w:rsidRPr="007C0FD7" w:rsidRDefault="58F63853" w:rsidP="0284F34A">
      <w:pPr>
        <w:rPr>
          <w:rStyle w:val="Heading2Char"/>
          <w:rFonts w:eastAsiaTheme="minorEastAsia"/>
          <w:sz w:val="32"/>
          <w:szCs w:val="32"/>
        </w:rPr>
      </w:pPr>
      <w:bookmarkStart w:id="2" w:name="_Toc449085544"/>
      <w:r w:rsidRPr="0284F34A">
        <w:rPr>
          <w:rStyle w:val="Heading2Char"/>
          <w:rFonts w:eastAsiaTheme="minorEastAsia"/>
          <w:sz w:val="32"/>
          <w:szCs w:val="32"/>
        </w:rPr>
        <w:t xml:space="preserve">Key </w:t>
      </w:r>
      <w:r w:rsidR="008460CD" w:rsidRPr="0284F34A">
        <w:rPr>
          <w:rStyle w:val="Heading2Char"/>
          <w:rFonts w:eastAsiaTheme="minorEastAsia"/>
          <w:sz w:val="32"/>
          <w:szCs w:val="32"/>
        </w:rPr>
        <w:t>differences</w:t>
      </w:r>
      <w:r w:rsidR="441B2A89" w:rsidRPr="0284F34A">
        <w:rPr>
          <w:rStyle w:val="Heading2Char"/>
          <w:rFonts w:eastAsiaTheme="minorEastAsia"/>
          <w:sz w:val="32"/>
          <w:szCs w:val="32"/>
        </w:rPr>
        <w:t xml:space="preserve"> between both pensions</w:t>
      </w:r>
      <w:bookmarkEnd w:id="2"/>
    </w:p>
    <w:p w14:paraId="246E4AB9" w14:textId="0DC131EA" w:rsidR="008460CD" w:rsidRPr="00BE102A" w:rsidRDefault="008460CD" w:rsidP="00BE102A">
      <w:pPr>
        <w:pStyle w:val="Heading3"/>
        <w:rPr>
          <w:sz w:val="28"/>
          <w:szCs w:val="28"/>
        </w:rPr>
      </w:pPr>
      <w:r w:rsidRPr="5FC431F8">
        <w:rPr>
          <w:sz w:val="28"/>
          <w:szCs w:val="28"/>
        </w:rPr>
        <w:t>Portability of your pension</w:t>
      </w:r>
    </w:p>
    <w:p w14:paraId="7F0C92A7" w14:textId="0A667737" w:rsidR="00D01A8E" w:rsidRDefault="00D01A8E" w:rsidP="00D01A8E">
      <w:r>
        <w:t xml:space="preserve">Portability is the length of time you can leave Australia and continue to receive your payments. </w:t>
      </w:r>
      <w:r>
        <w:br/>
      </w:r>
      <w:r>
        <w:br/>
        <w:t xml:space="preserve">Under the </w:t>
      </w:r>
      <w:r w:rsidR="000133F0">
        <w:t>DSP</w:t>
      </w:r>
      <w:r>
        <w:t xml:space="preserve"> (Blind), the basic portability is 28 days</w:t>
      </w:r>
      <w:r w:rsidR="24CA86C5">
        <w:t xml:space="preserve"> in a rolling 12 month period</w:t>
      </w:r>
      <w:r>
        <w:t xml:space="preserve">. You can apply for indefinite portability, and </w:t>
      </w:r>
      <w:r w:rsidR="1C1E4508">
        <w:t xml:space="preserve">if you were an </w:t>
      </w:r>
      <w:r>
        <w:t>Australian resident wh</w:t>
      </w:r>
      <w:r w:rsidR="1A3DD678">
        <w:t xml:space="preserve">en you became </w:t>
      </w:r>
      <w:r w:rsidR="00D008A9">
        <w:t>permanently</w:t>
      </w:r>
      <w:r>
        <w:t xml:space="preserve"> blind you </w:t>
      </w:r>
      <w:r w:rsidR="5F638C52">
        <w:t xml:space="preserve">should </w:t>
      </w:r>
      <w:r>
        <w:t xml:space="preserve">exempt from the proportional payment rate and paid at the full </w:t>
      </w:r>
      <w:r w:rsidR="6A29203D">
        <w:t xml:space="preserve">basic </w:t>
      </w:r>
      <w:r>
        <w:t>rate while overseas.</w:t>
      </w:r>
    </w:p>
    <w:p w14:paraId="43267BDC" w14:textId="77777777" w:rsidR="00D01A8E" w:rsidRPr="00D01A8E" w:rsidRDefault="00D01A8E" w:rsidP="00D01A8E"/>
    <w:p w14:paraId="20631A3D" w14:textId="7F83B33C" w:rsidR="00D01A8E" w:rsidRDefault="00D01A8E" w:rsidP="00D01A8E">
      <w:r>
        <w:t xml:space="preserve">For the Age Pension (Blind), basic portability is </w:t>
      </w:r>
      <w:r w:rsidR="68873E46">
        <w:t>indefinite</w:t>
      </w:r>
      <w:r>
        <w:t xml:space="preserve">. </w:t>
      </w:r>
      <w:r w:rsidR="00D008A9">
        <w:t>With this pension you</w:t>
      </w:r>
      <w:r>
        <w:t xml:space="preserve"> cannot apply for indefinite portability of your pension.</w:t>
      </w:r>
      <w:r w:rsidR="19275DD0">
        <w:t xml:space="preserve"> </w:t>
      </w:r>
      <w:r w:rsidR="30FC5B17">
        <w:t xml:space="preserve">However, after 26 weeks overseas your payment may become proportional. </w:t>
      </w:r>
    </w:p>
    <w:p w14:paraId="09C0B5B2" w14:textId="77777777" w:rsidR="00D008A9" w:rsidRPr="00D01A8E" w:rsidRDefault="00D008A9" w:rsidP="00D01A8E"/>
    <w:p w14:paraId="3E905D6C" w14:textId="10870FDC" w:rsidR="002B5931" w:rsidRDefault="00FA5688" w:rsidP="00BE102A">
      <w:r>
        <w:t>For questions about either pension, c</w:t>
      </w:r>
      <w:r w:rsidR="00CF2AD7">
        <w:t xml:space="preserve">ontact </w:t>
      </w:r>
      <w:r>
        <w:t xml:space="preserve">Services Australia’s International Services on 131 673 </w:t>
      </w:r>
      <w:r w:rsidR="00CF2AD7">
        <w:t xml:space="preserve">to discuss your specific situation, as </w:t>
      </w:r>
      <w:r w:rsidR="4B416169">
        <w:t>other factors may affect your portability.</w:t>
      </w:r>
    </w:p>
    <w:p w14:paraId="311CA51F" w14:textId="27B5BD12" w:rsidR="0284F34A" w:rsidRDefault="0284F34A" w:rsidP="1D4B18D6"/>
    <w:p w14:paraId="696431D1" w14:textId="77777777" w:rsidR="00B2535E" w:rsidRPr="00023D1F" w:rsidRDefault="00B2535E" w:rsidP="00BE102A">
      <w:pPr>
        <w:pStyle w:val="Heading2"/>
        <w:rPr>
          <w:sz w:val="28"/>
          <w:szCs w:val="28"/>
        </w:rPr>
      </w:pPr>
      <w:r w:rsidRPr="00023D1F">
        <w:rPr>
          <w:sz w:val="28"/>
          <w:szCs w:val="28"/>
        </w:rPr>
        <w:t xml:space="preserve">Additional </w:t>
      </w:r>
      <w:proofErr w:type="gramStart"/>
      <w:r w:rsidRPr="00023D1F">
        <w:rPr>
          <w:sz w:val="28"/>
          <w:szCs w:val="28"/>
        </w:rPr>
        <w:t>supports</w:t>
      </w:r>
      <w:proofErr w:type="gramEnd"/>
      <w:r w:rsidRPr="00023D1F">
        <w:rPr>
          <w:sz w:val="28"/>
          <w:szCs w:val="28"/>
        </w:rPr>
        <w:t xml:space="preserve"> and supplements</w:t>
      </w:r>
    </w:p>
    <w:p w14:paraId="43D8095D" w14:textId="10AF6821" w:rsidR="00B2535E" w:rsidRDefault="00B2535E" w:rsidP="004E32D0">
      <w:r w:rsidRPr="00B2535E">
        <w:t>Under the DSP (Blind), you may be able to access additional payments</w:t>
      </w:r>
      <w:r w:rsidR="00B71148">
        <w:t xml:space="preserve"> </w:t>
      </w:r>
      <w:r w:rsidRPr="00B2535E">
        <w:t xml:space="preserve">or continue receiving payments that would </w:t>
      </w:r>
      <w:r w:rsidR="00B71148">
        <w:t>stop</w:t>
      </w:r>
      <w:r w:rsidRPr="00B2535E">
        <w:t xml:space="preserve"> under the Age Pension (Blind). These include:</w:t>
      </w:r>
    </w:p>
    <w:p w14:paraId="3171948D" w14:textId="77777777" w:rsidR="004E32D0" w:rsidRPr="00B2535E" w:rsidRDefault="004E32D0" w:rsidP="004E32D0"/>
    <w:p w14:paraId="51EBFC44" w14:textId="357DEC3A" w:rsidR="00B2535E" w:rsidRPr="00B2535E" w:rsidRDefault="00B2535E" w:rsidP="004E32D0">
      <w:pPr>
        <w:pStyle w:val="ListParagraph"/>
        <w:numPr>
          <w:ilvl w:val="0"/>
          <w:numId w:val="4"/>
        </w:numPr>
      </w:pPr>
      <w:r>
        <w:t>Access to the Pensioner Education Supplement and</w:t>
      </w:r>
      <w:r w:rsidR="3B1D2D7A">
        <w:t xml:space="preserve"> Education Entry</w:t>
      </w:r>
      <w:r>
        <w:t xml:space="preserve"> Payment</w:t>
      </w:r>
      <w:r w:rsidR="002A3E85">
        <w:t>,</w:t>
      </w:r>
    </w:p>
    <w:p w14:paraId="6539A17B" w14:textId="6B1C841C" w:rsidR="00B2535E" w:rsidRPr="00B2535E" w:rsidRDefault="00B2535E" w:rsidP="004E32D0">
      <w:pPr>
        <w:pStyle w:val="ListParagraph"/>
        <w:numPr>
          <w:ilvl w:val="0"/>
          <w:numId w:val="4"/>
        </w:numPr>
      </w:pPr>
      <w:r w:rsidRPr="00B2535E">
        <w:t>Continued access to the Incentive Allowance</w:t>
      </w:r>
      <w:r w:rsidR="002A3E85">
        <w:t>,</w:t>
      </w:r>
    </w:p>
    <w:p w14:paraId="6EF4D149" w14:textId="4A5C5915" w:rsidR="00B2535E" w:rsidRPr="00B2535E" w:rsidRDefault="00B2535E" w:rsidP="004E32D0">
      <w:pPr>
        <w:pStyle w:val="ListParagraph"/>
        <w:numPr>
          <w:ilvl w:val="0"/>
          <w:numId w:val="4"/>
        </w:numPr>
      </w:pPr>
      <w:r>
        <w:t>If you are already on the higher rate of the Mobility Allowance, this will continue</w:t>
      </w:r>
      <w:r w:rsidR="002A3E85">
        <w:t>,</w:t>
      </w:r>
      <w:r w:rsidR="4C2ED97A">
        <w:t xml:space="preserve"> and</w:t>
      </w:r>
    </w:p>
    <w:p w14:paraId="410DC30C" w14:textId="03E3224E" w:rsidR="00B2535E" w:rsidRPr="00B2535E" w:rsidRDefault="00B2535E" w:rsidP="004E32D0">
      <w:pPr>
        <w:pStyle w:val="ListParagraph"/>
        <w:numPr>
          <w:ilvl w:val="0"/>
          <w:numId w:val="4"/>
        </w:numPr>
      </w:pPr>
      <w:r>
        <w:t>If you are</w:t>
      </w:r>
      <w:r w:rsidR="5E4C52B1">
        <w:t xml:space="preserve"> a</w:t>
      </w:r>
      <w:r>
        <w:t xml:space="preserve"> single private renter</w:t>
      </w:r>
      <w:r w:rsidR="21E4753F">
        <w:t xml:space="preserve"> who shares </w:t>
      </w:r>
      <w:r w:rsidR="66AFFDBB">
        <w:t>accommodation</w:t>
      </w:r>
      <w:r>
        <w:t xml:space="preserve">, you </w:t>
      </w:r>
      <w:r w:rsidR="0360261A">
        <w:t xml:space="preserve">may be </w:t>
      </w:r>
      <w:r>
        <w:t>eligible for a higher rate of Rent Assistance</w:t>
      </w:r>
      <w:r w:rsidR="002A3E85">
        <w:t>, and</w:t>
      </w:r>
    </w:p>
    <w:p w14:paraId="328B5E55" w14:textId="32D45511" w:rsidR="00B2535E" w:rsidRPr="00B2535E" w:rsidRDefault="00B2535E" w:rsidP="6F48494F"/>
    <w:p w14:paraId="566119FB" w14:textId="723201F3" w:rsidR="6F48494F" w:rsidRDefault="6F48494F">
      <w:r>
        <w:br w:type="page"/>
      </w:r>
    </w:p>
    <w:p w14:paraId="5687D6EC" w14:textId="4E6538E2" w:rsidR="00B2535E" w:rsidRPr="004E32D0" w:rsidRDefault="00B2535E" w:rsidP="004E32D0">
      <w:pPr>
        <w:pStyle w:val="Heading2"/>
        <w:rPr>
          <w:sz w:val="32"/>
          <w:szCs w:val="32"/>
        </w:rPr>
      </w:pPr>
      <w:bookmarkStart w:id="3" w:name="_Toc449085545"/>
      <w:r w:rsidRPr="004E32D0">
        <w:rPr>
          <w:sz w:val="32"/>
          <w:szCs w:val="32"/>
        </w:rPr>
        <w:lastRenderedPageBreak/>
        <w:t xml:space="preserve">Should </w:t>
      </w:r>
      <w:r w:rsidR="001F1218">
        <w:rPr>
          <w:sz w:val="32"/>
          <w:szCs w:val="32"/>
        </w:rPr>
        <w:t>I</w:t>
      </w:r>
      <w:r w:rsidRPr="004E32D0">
        <w:rPr>
          <w:sz w:val="32"/>
          <w:szCs w:val="32"/>
        </w:rPr>
        <w:t xml:space="preserve"> transfer to the Age Pension (Blind)?</w:t>
      </w:r>
      <w:bookmarkEnd w:id="3"/>
    </w:p>
    <w:p w14:paraId="5DD346C9" w14:textId="790B8F5C" w:rsidR="00987281" w:rsidRDefault="00987281" w:rsidP="00987281">
      <w:r w:rsidRPr="00987281">
        <w:t>Transferring</w:t>
      </w:r>
      <w:r w:rsidR="003076DD">
        <w:t xml:space="preserve"> between</w:t>
      </w:r>
      <w:r w:rsidRPr="00987281">
        <w:t xml:space="preserve"> pensions is a decision you should make for yourself. Remember, you are not required to change simply because you have hit the age to receive the Aged Pension.</w:t>
      </w:r>
    </w:p>
    <w:p w14:paraId="3FC158C3" w14:textId="77777777" w:rsidR="00B71148" w:rsidRPr="00987281" w:rsidRDefault="00B71148" w:rsidP="00987281"/>
    <w:p w14:paraId="0D4F6BE2" w14:textId="371E574E" w:rsidR="00987281" w:rsidRDefault="00987281" w:rsidP="00987281">
      <w:r w:rsidRPr="00987281">
        <w:t xml:space="preserve">If your pension change has happened automatically, you can appeal the cancellation of your </w:t>
      </w:r>
      <w:r w:rsidR="00B71148">
        <w:t>DSP</w:t>
      </w:r>
      <w:r w:rsidRPr="00987281">
        <w:t xml:space="preserve"> (Blind). You have 13 weeks from the day advised of the cancellation to lodge your appeal. </w:t>
      </w:r>
    </w:p>
    <w:p w14:paraId="1707EEB9" w14:textId="77777777" w:rsidR="00987281" w:rsidRPr="00987281" w:rsidRDefault="00987281" w:rsidP="00987281"/>
    <w:p w14:paraId="7D203765" w14:textId="3C063B9C" w:rsidR="004D63BC" w:rsidRDefault="00987281" w:rsidP="00987281">
      <w:r w:rsidRPr="00987281">
        <w:t xml:space="preserve">Consider what your current circumstances are and what you might wish to accomplish in the future. </w:t>
      </w:r>
      <w:r w:rsidR="004D63BC">
        <w:t>Make the decision that best suits you.</w:t>
      </w:r>
    </w:p>
    <w:p w14:paraId="32456156" w14:textId="77777777" w:rsidR="004D63BC" w:rsidRDefault="004D63BC" w:rsidP="00987281"/>
    <w:p w14:paraId="3AEA6EEE" w14:textId="09D40868" w:rsidR="00987281" w:rsidRDefault="00987281" w:rsidP="00987281">
      <w:r w:rsidRPr="00987281">
        <w:t xml:space="preserve">If you are still unsure </w:t>
      </w:r>
      <w:r w:rsidR="00ED63CA">
        <w:t xml:space="preserve">on what to do </w:t>
      </w:r>
      <w:r w:rsidRPr="00987281">
        <w:t>and feel comfortable doing so, you can contact Services Australia’s Disability and Carer’s Line on 132 717.</w:t>
      </w:r>
    </w:p>
    <w:p w14:paraId="14453C5B" w14:textId="77777777" w:rsidR="006E360C" w:rsidRDefault="006E360C" w:rsidP="00987281"/>
    <w:p w14:paraId="3BA1E914" w14:textId="77777777" w:rsidR="006E360C" w:rsidRPr="00987281" w:rsidRDefault="006E360C" w:rsidP="00987281"/>
    <w:p w14:paraId="445BA61E" w14:textId="77777777" w:rsidR="00AC0A08" w:rsidRDefault="00B2535E" w:rsidP="00987281">
      <w:pPr>
        <w:pStyle w:val="Heading2"/>
        <w:rPr>
          <w:sz w:val="32"/>
          <w:szCs w:val="32"/>
        </w:rPr>
      </w:pPr>
      <w:r w:rsidRPr="004E32D0">
        <w:rPr>
          <w:sz w:val="32"/>
          <w:szCs w:val="32"/>
        </w:rPr>
        <w:t xml:space="preserve">For </w:t>
      </w:r>
      <w:r w:rsidR="00987281">
        <w:rPr>
          <w:sz w:val="32"/>
          <w:szCs w:val="32"/>
        </w:rPr>
        <w:t>more</w:t>
      </w:r>
      <w:r w:rsidRPr="004E32D0">
        <w:rPr>
          <w:sz w:val="32"/>
          <w:szCs w:val="32"/>
        </w:rPr>
        <w:t xml:space="preserve"> </w:t>
      </w:r>
      <w:r w:rsidR="00987281">
        <w:rPr>
          <w:sz w:val="32"/>
          <w:szCs w:val="32"/>
        </w:rPr>
        <w:t>i</w:t>
      </w:r>
      <w:r w:rsidRPr="004E32D0">
        <w:rPr>
          <w:sz w:val="32"/>
          <w:szCs w:val="32"/>
        </w:rPr>
        <w:t>nformation</w:t>
      </w:r>
    </w:p>
    <w:p w14:paraId="747D99A1" w14:textId="7D1FD38F" w:rsidR="00987281" w:rsidRPr="00987281" w:rsidRDefault="00987281" w:rsidP="00AC0A08">
      <w:pPr>
        <w:rPr>
          <w:sz w:val="32"/>
        </w:rPr>
      </w:pPr>
      <w:r w:rsidRPr="00987281">
        <w:t>For any questions around the information presented in this guide, or to obtain this guide in another format, call Vision Australia’s Advocacy team on 1300 847 466 or email them at</w:t>
      </w:r>
      <w:r w:rsidR="00BB6625">
        <w:t xml:space="preserve"> </w:t>
      </w:r>
      <w:hyperlink r:id="rId13" w:history="1">
        <w:r w:rsidR="00BB6625" w:rsidRPr="00A40AA2">
          <w:rPr>
            <w:rStyle w:val="Hyperlink"/>
          </w:rPr>
          <w:t>advocacy@visionaustralia.org</w:t>
        </w:r>
      </w:hyperlink>
      <w:r w:rsidR="00BB6625">
        <w:t>.</w:t>
      </w:r>
    </w:p>
    <w:p w14:paraId="17A048F9" w14:textId="77777777" w:rsidR="004E32D0" w:rsidRPr="00B2535E" w:rsidRDefault="004E32D0" w:rsidP="004E32D0">
      <w:pPr>
        <w:rPr>
          <w:u w:val="single"/>
        </w:rPr>
      </w:pPr>
    </w:p>
    <w:p w14:paraId="008B4E15" w14:textId="11062416" w:rsidR="00BE7262" w:rsidRPr="004E32D0" w:rsidRDefault="00B2535E" w:rsidP="004E32D0">
      <w:r w:rsidRPr="00B2535E">
        <w:t>Last revised</w:t>
      </w:r>
      <w:r w:rsidR="004D63BC">
        <w:t xml:space="preserve"> 6 November 2024.</w:t>
      </w:r>
    </w:p>
    <w:sectPr w:rsidR="00BE7262" w:rsidRPr="004E32D0">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9AC93" w14:textId="77777777" w:rsidR="001B60AC" w:rsidRDefault="001B60AC" w:rsidP="00427491">
      <w:r>
        <w:separator/>
      </w:r>
    </w:p>
  </w:endnote>
  <w:endnote w:type="continuationSeparator" w:id="0">
    <w:p w14:paraId="134AF6D8" w14:textId="77777777" w:rsidR="001B60AC" w:rsidRDefault="001B60AC" w:rsidP="00427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6380579"/>
      <w:docPartObj>
        <w:docPartGallery w:val="Page Numbers (Bottom of Page)"/>
        <w:docPartUnique/>
      </w:docPartObj>
    </w:sdtPr>
    <w:sdtEndPr>
      <w:rPr>
        <w:noProof/>
      </w:rPr>
    </w:sdtEndPr>
    <w:sdtContent>
      <w:p w14:paraId="1571D1B8" w14:textId="238E9A61" w:rsidR="00427491" w:rsidRDefault="0042749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706569" w14:textId="77777777" w:rsidR="00427491" w:rsidRDefault="00427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F1477" w14:textId="77777777" w:rsidR="001B60AC" w:rsidRDefault="001B60AC" w:rsidP="00427491">
      <w:r>
        <w:separator/>
      </w:r>
    </w:p>
  </w:footnote>
  <w:footnote w:type="continuationSeparator" w:id="0">
    <w:p w14:paraId="6B1A0B86" w14:textId="77777777" w:rsidR="001B60AC" w:rsidRDefault="001B60AC" w:rsidP="00427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067B1" w14:textId="6FE4CFAC" w:rsidR="00427491" w:rsidRDefault="00427491">
    <w:pPr>
      <w:pStyle w:val="Header"/>
    </w:pPr>
    <w:r>
      <w:rPr>
        <w:noProof/>
      </w:rPr>
      <w:drawing>
        <wp:inline distT="0" distB="0" distL="0" distR="0" wp14:anchorId="20DA8193" wp14:editId="79A999AC">
          <wp:extent cx="1961905" cy="628571"/>
          <wp:effectExtent l="0" t="0" r="635" b="635"/>
          <wp:docPr id="316192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192338" name=""/>
                  <pic:cNvPicPr/>
                </pic:nvPicPr>
                <pic:blipFill>
                  <a:blip r:embed="rId1"/>
                  <a:stretch>
                    <a:fillRect/>
                  </a:stretch>
                </pic:blipFill>
                <pic:spPr>
                  <a:xfrm>
                    <a:off x="0" y="0"/>
                    <a:ext cx="1961905" cy="628571"/>
                  </a:xfrm>
                  <a:prstGeom prst="rect">
                    <a:avLst/>
                  </a:prstGeom>
                </pic:spPr>
              </pic:pic>
            </a:graphicData>
          </a:graphic>
        </wp:inline>
      </w:drawing>
    </w:r>
  </w:p>
  <w:p w14:paraId="6D6BA105" w14:textId="77777777" w:rsidR="00427491" w:rsidRDefault="004274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44FC2"/>
    <w:multiLevelType w:val="hybridMultilevel"/>
    <w:tmpl w:val="F1340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1F44328"/>
    <w:multiLevelType w:val="hybridMultilevel"/>
    <w:tmpl w:val="0D283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A4F5076"/>
    <w:multiLevelType w:val="hybridMultilevel"/>
    <w:tmpl w:val="F10608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3958B57"/>
    <w:multiLevelType w:val="hybridMultilevel"/>
    <w:tmpl w:val="F47246C0"/>
    <w:lvl w:ilvl="0" w:tplc="990261BA">
      <w:start w:val="1"/>
      <w:numFmt w:val="bullet"/>
      <w:lvlText w:val=""/>
      <w:lvlJc w:val="left"/>
      <w:pPr>
        <w:ind w:left="720" w:hanging="360"/>
      </w:pPr>
      <w:rPr>
        <w:rFonts w:ascii="Symbol" w:hAnsi="Symbol" w:hint="default"/>
      </w:rPr>
    </w:lvl>
    <w:lvl w:ilvl="1" w:tplc="93521472">
      <w:start w:val="1"/>
      <w:numFmt w:val="bullet"/>
      <w:lvlText w:val="o"/>
      <w:lvlJc w:val="left"/>
      <w:pPr>
        <w:ind w:left="1440" w:hanging="360"/>
      </w:pPr>
      <w:rPr>
        <w:rFonts w:ascii="Courier New" w:hAnsi="Courier New" w:hint="default"/>
      </w:rPr>
    </w:lvl>
    <w:lvl w:ilvl="2" w:tplc="C744216C">
      <w:start w:val="1"/>
      <w:numFmt w:val="bullet"/>
      <w:lvlText w:val=""/>
      <w:lvlJc w:val="left"/>
      <w:pPr>
        <w:ind w:left="2160" w:hanging="360"/>
      </w:pPr>
      <w:rPr>
        <w:rFonts w:ascii="Wingdings" w:hAnsi="Wingdings" w:hint="default"/>
      </w:rPr>
    </w:lvl>
    <w:lvl w:ilvl="3" w:tplc="A754BBF2">
      <w:start w:val="1"/>
      <w:numFmt w:val="bullet"/>
      <w:lvlText w:val=""/>
      <w:lvlJc w:val="left"/>
      <w:pPr>
        <w:ind w:left="2880" w:hanging="360"/>
      </w:pPr>
      <w:rPr>
        <w:rFonts w:ascii="Symbol" w:hAnsi="Symbol" w:hint="default"/>
      </w:rPr>
    </w:lvl>
    <w:lvl w:ilvl="4" w:tplc="BA6AFF1E">
      <w:start w:val="1"/>
      <w:numFmt w:val="bullet"/>
      <w:lvlText w:val="o"/>
      <w:lvlJc w:val="left"/>
      <w:pPr>
        <w:ind w:left="3600" w:hanging="360"/>
      </w:pPr>
      <w:rPr>
        <w:rFonts w:ascii="Courier New" w:hAnsi="Courier New" w:hint="default"/>
      </w:rPr>
    </w:lvl>
    <w:lvl w:ilvl="5" w:tplc="D02CCCCA">
      <w:start w:val="1"/>
      <w:numFmt w:val="bullet"/>
      <w:lvlText w:val=""/>
      <w:lvlJc w:val="left"/>
      <w:pPr>
        <w:ind w:left="4320" w:hanging="360"/>
      </w:pPr>
      <w:rPr>
        <w:rFonts w:ascii="Wingdings" w:hAnsi="Wingdings" w:hint="default"/>
      </w:rPr>
    </w:lvl>
    <w:lvl w:ilvl="6" w:tplc="13366C68">
      <w:start w:val="1"/>
      <w:numFmt w:val="bullet"/>
      <w:lvlText w:val=""/>
      <w:lvlJc w:val="left"/>
      <w:pPr>
        <w:ind w:left="5040" w:hanging="360"/>
      </w:pPr>
      <w:rPr>
        <w:rFonts w:ascii="Symbol" w:hAnsi="Symbol" w:hint="default"/>
      </w:rPr>
    </w:lvl>
    <w:lvl w:ilvl="7" w:tplc="398AC758">
      <w:start w:val="1"/>
      <w:numFmt w:val="bullet"/>
      <w:lvlText w:val="o"/>
      <w:lvlJc w:val="left"/>
      <w:pPr>
        <w:ind w:left="5760" w:hanging="360"/>
      </w:pPr>
      <w:rPr>
        <w:rFonts w:ascii="Courier New" w:hAnsi="Courier New" w:hint="default"/>
      </w:rPr>
    </w:lvl>
    <w:lvl w:ilvl="8" w:tplc="39304116">
      <w:start w:val="1"/>
      <w:numFmt w:val="bullet"/>
      <w:lvlText w:val=""/>
      <w:lvlJc w:val="left"/>
      <w:pPr>
        <w:ind w:left="6480" w:hanging="360"/>
      </w:pPr>
      <w:rPr>
        <w:rFonts w:ascii="Wingdings" w:hAnsi="Wingdings" w:hint="default"/>
      </w:rPr>
    </w:lvl>
  </w:abstractNum>
  <w:abstractNum w:abstractNumId="4" w15:restartNumberingAfterBreak="0">
    <w:nsid w:val="7EEB59E7"/>
    <w:multiLevelType w:val="hybridMultilevel"/>
    <w:tmpl w:val="87F8D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10465748">
    <w:abstractNumId w:val="3"/>
  </w:num>
  <w:num w:numId="2" w16cid:durableId="1767919686">
    <w:abstractNumId w:val="1"/>
  </w:num>
  <w:num w:numId="3" w16cid:durableId="1983656567">
    <w:abstractNumId w:val="4"/>
  </w:num>
  <w:num w:numId="4" w16cid:durableId="1493064605">
    <w:abstractNumId w:val="2"/>
  </w:num>
  <w:num w:numId="5" w16cid:durableId="576979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635"/>
    <w:rsid w:val="000133F0"/>
    <w:rsid w:val="00023D1F"/>
    <w:rsid w:val="00030139"/>
    <w:rsid w:val="00037A5C"/>
    <w:rsid w:val="000756EF"/>
    <w:rsid w:val="00113635"/>
    <w:rsid w:val="00136465"/>
    <w:rsid w:val="001479B9"/>
    <w:rsid w:val="00154516"/>
    <w:rsid w:val="001B60AC"/>
    <w:rsid w:val="001C5B29"/>
    <w:rsid w:val="001C5DE3"/>
    <w:rsid w:val="001C7149"/>
    <w:rsid w:val="001E5E05"/>
    <w:rsid w:val="001F1218"/>
    <w:rsid w:val="00203E98"/>
    <w:rsid w:val="00244F8C"/>
    <w:rsid w:val="00255D10"/>
    <w:rsid w:val="002678D2"/>
    <w:rsid w:val="002A3E85"/>
    <w:rsid w:val="002B5931"/>
    <w:rsid w:val="002B5C06"/>
    <w:rsid w:val="002D4121"/>
    <w:rsid w:val="002D6F2B"/>
    <w:rsid w:val="002E5F70"/>
    <w:rsid w:val="002F2EEC"/>
    <w:rsid w:val="002F4512"/>
    <w:rsid w:val="002F4AE9"/>
    <w:rsid w:val="003076DD"/>
    <w:rsid w:val="00307883"/>
    <w:rsid w:val="003B2D3F"/>
    <w:rsid w:val="003D5EFC"/>
    <w:rsid w:val="003E4F59"/>
    <w:rsid w:val="00427491"/>
    <w:rsid w:val="00475E97"/>
    <w:rsid w:val="00484E56"/>
    <w:rsid w:val="004B487D"/>
    <w:rsid w:val="004D09D6"/>
    <w:rsid w:val="004D63BC"/>
    <w:rsid w:val="004D7ED0"/>
    <w:rsid w:val="004E32D0"/>
    <w:rsid w:val="004E4504"/>
    <w:rsid w:val="005241F9"/>
    <w:rsid w:val="005404A9"/>
    <w:rsid w:val="00545AF5"/>
    <w:rsid w:val="0056421C"/>
    <w:rsid w:val="00574D4B"/>
    <w:rsid w:val="00580B63"/>
    <w:rsid w:val="005826BF"/>
    <w:rsid w:val="00594054"/>
    <w:rsid w:val="005C9604"/>
    <w:rsid w:val="00654094"/>
    <w:rsid w:val="00662DE7"/>
    <w:rsid w:val="00665E1D"/>
    <w:rsid w:val="006B3348"/>
    <w:rsid w:val="006E360C"/>
    <w:rsid w:val="007028D5"/>
    <w:rsid w:val="007314F3"/>
    <w:rsid w:val="00760878"/>
    <w:rsid w:val="0078556B"/>
    <w:rsid w:val="00785657"/>
    <w:rsid w:val="007C0FD7"/>
    <w:rsid w:val="007F4BF9"/>
    <w:rsid w:val="00821403"/>
    <w:rsid w:val="008331CD"/>
    <w:rsid w:val="0084189B"/>
    <w:rsid w:val="008460CD"/>
    <w:rsid w:val="008674E8"/>
    <w:rsid w:val="008A0EEC"/>
    <w:rsid w:val="008B65F6"/>
    <w:rsid w:val="008C69C4"/>
    <w:rsid w:val="008E77A5"/>
    <w:rsid w:val="0090539B"/>
    <w:rsid w:val="00951334"/>
    <w:rsid w:val="00967854"/>
    <w:rsid w:val="00987281"/>
    <w:rsid w:val="009C4163"/>
    <w:rsid w:val="009D1E34"/>
    <w:rsid w:val="009D2914"/>
    <w:rsid w:val="009D33B7"/>
    <w:rsid w:val="00A11DC7"/>
    <w:rsid w:val="00A1580E"/>
    <w:rsid w:val="00A43DEB"/>
    <w:rsid w:val="00A82541"/>
    <w:rsid w:val="00A84181"/>
    <w:rsid w:val="00AB2A56"/>
    <w:rsid w:val="00AC0A08"/>
    <w:rsid w:val="00AF6DB3"/>
    <w:rsid w:val="00B1106B"/>
    <w:rsid w:val="00B14D50"/>
    <w:rsid w:val="00B2535E"/>
    <w:rsid w:val="00B470A5"/>
    <w:rsid w:val="00B52D4E"/>
    <w:rsid w:val="00B71148"/>
    <w:rsid w:val="00B92B44"/>
    <w:rsid w:val="00BB6625"/>
    <w:rsid w:val="00BE102A"/>
    <w:rsid w:val="00BE7262"/>
    <w:rsid w:val="00C70B03"/>
    <w:rsid w:val="00CD1739"/>
    <w:rsid w:val="00CE6171"/>
    <w:rsid w:val="00CF2AD7"/>
    <w:rsid w:val="00D0029C"/>
    <w:rsid w:val="00D008A9"/>
    <w:rsid w:val="00D01A8E"/>
    <w:rsid w:val="00D0242E"/>
    <w:rsid w:val="00D32EDC"/>
    <w:rsid w:val="00D4449C"/>
    <w:rsid w:val="00D767CF"/>
    <w:rsid w:val="00D82C6B"/>
    <w:rsid w:val="00D92282"/>
    <w:rsid w:val="00DC57BD"/>
    <w:rsid w:val="00DD3ABA"/>
    <w:rsid w:val="00E51C19"/>
    <w:rsid w:val="00EA7383"/>
    <w:rsid w:val="00EB0F87"/>
    <w:rsid w:val="00EB6DD3"/>
    <w:rsid w:val="00EC6829"/>
    <w:rsid w:val="00ED3C56"/>
    <w:rsid w:val="00ED6175"/>
    <w:rsid w:val="00ED63CA"/>
    <w:rsid w:val="00F069AB"/>
    <w:rsid w:val="00F460DA"/>
    <w:rsid w:val="00F46DF3"/>
    <w:rsid w:val="00F5089F"/>
    <w:rsid w:val="00F62BCB"/>
    <w:rsid w:val="00F90D90"/>
    <w:rsid w:val="00FA5688"/>
    <w:rsid w:val="00FD7DC6"/>
    <w:rsid w:val="0284F34A"/>
    <w:rsid w:val="02BF44D7"/>
    <w:rsid w:val="0360261A"/>
    <w:rsid w:val="03701A43"/>
    <w:rsid w:val="0908340B"/>
    <w:rsid w:val="0EDB52DC"/>
    <w:rsid w:val="0F2F2C64"/>
    <w:rsid w:val="19275DD0"/>
    <w:rsid w:val="19724581"/>
    <w:rsid w:val="19C75781"/>
    <w:rsid w:val="1A1DCA55"/>
    <w:rsid w:val="1A3DD678"/>
    <w:rsid w:val="1C1E4508"/>
    <w:rsid w:val="1D4B18D6"/>
    <w:rsid w:val="1E46F840"/>
    <w:rsid w:val="21B3DC07"/>
    <w:rsid w:val="21E4753F"/>
    <w:rsid w:val="22F0DB11"/>
    <w:rsid w:val="22F6AB9C"/>
    <w:rsid w:val="24CA86C5"/>
    <w:rsid w:val="252F9B8A"/>
    <w:rsid w:val="2699CB4C"/>
    <w:rsid w:val="26FBB5DA"/>
    <w:rsid w:val="2AE2B197"/>
    <w:rsid w:val="2BA45931"/>
    <w:rsid w:val="2C6FB2F2"/>
    <w:rsid w:val="2C7A18B3"/>
    <w:rsid w:val="30FC5B17"/>
    <w:rsid w:val="31C5B1E5"/>
    <w:rsid w:val="35952B85"/>
    <w:rsid w:val="3B1D2D7A"/>
    <w:rsid w:val="3DC82383"/>
    <w:rsid w:val="3F071D9D"/>
    <w:rsid w:val="40B06196"/>
    <w:rsid w:val="4241CA32"/>
    <w:rsid w:val="43371EC6"/>
    <w:rsid w:val="441B2A89"/>
    <w:rsid w:val="44A90703"/>
    <w:rsid w:val="46A4B345"/>
    <w:rsid w:val="4756C9D7"/>
    <w:rsid w:val="477CB052"/>
    <w:rsid w:val="48A59A0C"/>
    <w:rsid w:val="4B416169"/>
    <w:rsid w:val="4C2ED97A"/>
    <w:rsid w:val="537D3FF5"/>
    <w:rsid w:val="570075AE"/>
    <w:rsid w:val="58F63853"/>
    <w:rsid w:val="5CDC8932"/>
    <w:rsid w:val="5E4C52B1"/>
    <w:rsid w:val="5F638C52"/>
    <w:rsid w:val="5FC431F8"/>
    <w:rsid w:val="654E6910"/>
    <w:rsid w:val="66AFFDBB"/>
    <w:rsid w:val="6737DD42"/>
    <w:rsid w:val="68873E46"/>
    <w:rsid w:val="6A29203D"/>
    <w:rsid w:val="6F48494F"/>
    <w:rsid w:val="732A70E6"/>
    <w:rsid w:val="74D2692B"/>
    <w:rsid w:val="77D08FFB"/>
    <w:rsid w:val="7812F7DE"/>
    <w:rsid w:val="7AB1BDD5"/>
    <w:rsid w:val="7D696CEB"/>
    <w:rsid w:val="7F8AC6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55F92"/>
  <w15:chartTrackingRefBased/>
  <w15:docId w15:val="{098373CA-2C0E-4F82-8EBD-B5437E713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Arial"/>
        <w:kern w:val="2"/>
        <w:sz w:val="24"/>
        <w:szCs w:val="3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516"/>
  </w:style>
  <w:style w:type="paragraph" w:styleId="Heading1">
    <w:name w:val="heading 1"/>
    <w:basedOn w:val="Normal"/>
    <w:next w:val="Normal"/>
    <w:link w:val="Heading1Char"/>
    <w:qFormat/>
    <w:rsid w:val="00154516"/>
    <w:pPr>
      <w:keepNext/>
      <w:spacing w:before="240" w:after="240"/>
      <w:outlineLvl w:val="0"/>
    </w:pPr>
    <w:rPr>
      <w:rFonts w:eastAsia="Times New Roman"/>
      <w:b/>
      <w:sz w:val="40"/>
      <w:szCs w:val="40"/>
    </w:rPr>
  </w:style>
  <w:style w:type="paragraph" w:styleId="Heading2">
    <w:name w:val="heading 2"/>
    <w:basedOn w:val="Normal"/>
    <w:next w:val="Normal"/>
    <w:link w:val="Heading2Char"/>
    <w:qFormat/>
    <w:rsid w:val="00154516"/>
    <w:pPr>
      <w:keepNext/>
      <w:spacing w:before="240" w:after="120"/>
      <w:outlineLvl w:val="1"/>
    </w:pPr>
    <w:rPr>
      <w:rFonts w:eastAsia="Times New Roman"/>
      <w:b/>
      <w:sz w:val="36"/>
      <w:szCs w:val="36"/>
      <w:lang w:val="en-US"/>
    </w:rPr>
  </w:style>
  <w:style w:type="paragraph" w:styleId="Heading3">
    <w:name w:val="heading 3"/>
    <w:basedOn w:val="Heading5"/>
    <w:next w:val="Normal"/>
    <w:link w:val="Heading3Char"/>
    <w:qFormat/>
    <w:rsid w:val="00662DE7"/>
    <w:pPr>
      <w:spacing w:before="120" w:after="120"/>
      <w:outlineLvl w:val="2"/>
    </w:pPr>
    <w:rPr>
      <w:rFonts w:eastAsia="Times New Roman" w:cs="Times New Roman"/>
      <w:bCs/>
      <w:sz w:val="32"/>
    </w:rPr>
  </w:style>
  <w:style w:type="paragraph" w:styleId="Heading4">
    <w:name w:val="heading 4"/>
    <w:basedOn w:val="Normal"/>
    <w:next w:val="Normal"/>
    <w:link w:val="Heading4Char"/>
    <w:uiPriority w:val="9"/>
    <w:unhideWhenUsed/>
    <w:qFormat/>
    <w:rsid w:val="00154516"/>
    <w:pPr>
      <w:outlineLvl w:val="3"/>
    </w:pPr>
    <w:rPr>
      <w:b/>
      <w:sz w:val="28"/>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516"/>
    <w:rPr>
      <w:rFonts w:eastAsia="Times New Roman"/>
      <w:b/>
      <w:sz w:val="40"/>
      <w:szCs w:val="40"/>
    </w:rPr>
  </w:style>
  <w:style w:type="character" w:customStyle="1" w:styleId="Heading2Char">
    <w:name w:val="Heading 2 Char"/>
    <w:basedOn w:val="DefaultParagraphFont"/>
    <w:link w:val="Heading2"/>
    <w:rsid w:val="00154516"/>
    <w:rPr>
      <w:rFonts w:eastAsia="Times New Roman"/>
      <w:b/>
      <w:sz w:val="36"/>
      <w:szCs w:val="36"/>
      <w:lang w:val="en-US"/>
    </w:rPr>
  </w:style>
  <w:style w:type="character" w:customStyle="1" w:styleId="Heading3Char">
    <w:name w:val="Heading 3 Char"/>
    <w:basedOn w:val="DefaultParagraphFont"/>
    <w:link w:val="Heading3"/>
    <w:rsid w:val="00662DE7"/>
    <w:rPr>
      <w:rFonts w:eastAsia="Times New Roman"/>
      <w:b/>
      <w:bCs/>
      <w:sz w:val="32"/>
      <w:szCs w:val="32"/>
    </w:rPr>
  </w:style>
  <w:style w:type="character" w:customStyle="1" w:styleId="Heading4Char">
    <w:name w:val="Heading 4 Char"/>
    <w:basedOn w:val="DefaultParagraphFont"/>
    <w:link w:val="Heading4"/>
    <w:uiPriority w:val="9"/>
    <w:rsid w:val="00154516"/>
    <w:rPr>
      <w:rFonts w:cs="Arial"/>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character" w:styleId="Hyperlink">
    <w:name w:val="Hyperlink"/>
    <w:basedOn w:val="DefaultParagraphFont"/>
    <w:uiPriority w:val="99"/>
    <w:unhideWhenUsed/>
    <w:rsid w:val="00307883"/>
    <w:rPr>
      <w:color w:val="0000FF" w:themeColor="hyperlink"/>
      <w:u w:val="single"/>
    </w:rPr>
  </w:style>
  <w:style w:type="character" w:styleId="UnresolvedMention">
    <w:name w:val="Unresolved Mention"/>
    <w:basedOn w:val="DefaultParagraphFont"/>
    <w:uiPriority w:val="99"/>
    <w:semiHidden/>
    <w:unhideWhenUsed/>
    <w:rsid w:val="00307883"/>
    <w:rPr>
      <w:color w:val="605E5C"/>
      <w:shd w:val="clear" w:color="auto" w:fill="E1DFDD"/>
    </w:rPr>
  </w:style>
  <w:style w:type="character" w:styleId="CommentReference">
    <w:name w:val="annotation reference"/>
    <w:basedOn w:val="DefaultParagraphFont"/>
    <w:uiPriority w:val="99"/>
    <w:semiHidden/>
    <w:unhideWhenUsed/>
    <w:rsid w:val="00760878"/>
    <w:rPr>
      <w:sz w:val="16"/>
      <w:szCs w:val="16"/>
    </w:rPr>
  </w:style>
  <w:style w:type="paragraph" w:styleId="CommentText">
    <w:name w:val="annotation text"/>
    <w:basedOn w:val="Normal"/>
    <w:link w:val="CommentTextChar"/>
    <w:uiPriority w:val="99"/>
    <w:unhideWhenUsed/>
    <w:rsid w:val="00760878"/>
    <w:rPr>
      <w:sz w:val="20"/>
      <w:szCs w:val="20"/>
    </w:rPr>
  </w:style>
  <w:style w:type="character" w:customStyle="1" w:styleId="CommentTextChar">
    <w:name w:val="Comment Text Char"/>
    <w:basedOn w:val="DefaultParagraphFont"/>
    <w:link w:val="CommentText"/>
    <w:uiPriority w:val="99"/>
    <w:rsid w:val="00760878"/>
    <w:rPr>
      <w:sz w:val="20"/>
      <w:szCs w:val="20"/>
    </w:rPr>
  </w:style>
  <w:style w:type="paragraph" w:styleId="CommentSubject">
    <w:name w:val="annotation subject"/>
    <w:basedOn w:val="CommentText"/>
    <w:next w:val="CommentText"/>
    <w:link w:val="CommentSubjectChar"/>
    <w:uiPriority w:val="99"/>
    <w:semiHidden/>
    <w:unhideWhenUsed/>
    <w:rsid w:val="00760878"/>
    <w:rPr>
      <w:b/>
      <w:bCs/>
    </w:rPr>
  </w:style>
  <w:style w:type="character" w:customStyle="1" w:styleId="CommentSubjectChar">
    <w:name w:val="Comment Subject Char"/>
    <w:basedOn w:val="CommentTextChar"/>
    <w:link w:val="CommentSubject"/>
    <w:uiPriority w:val="99"/>
    <w:semiHidden/>
    <w:rsid w:val="00760878"/>
    <w:rPr>
      <w:b/>
      <w:bCs/>
      <w:sz w:val="20"/>
      <w:szCs w:val="20"/>
    </w:rPr>
  </w:style>
  <w:style w:type="paragraph" w:styleId="Header">
    <w:name w:val="header"/>
    <w:basedOn w:val="Normal"/>
    <w:link w:val="HeaderChar"/>
    <w:uiPriority w:val="99"/>
    <w:unhideWhenUsed/>
    <w:rsid w:val="00427491"/>
    <w:pPr>
      <w:tabs>
        <w:tab w:val="center" w:pos="4513"/>
        <w:tab w:val="right" w:pos="9026"/>
      </w:tabs>
    </w:pPr>
  </w:style>
  <w:style w:type="character" w:customStyle="1" w:styleId="HeaderChar">
    <w:name w:val="Header Char"/>
    <w:basedOn w:val="DefaultParagraphFont"/>
    <w:link w:val="Header"/>
    <w:uiPriority w:val="99"/>
    <w:rsid w:val="00427491"/>
  </w:style>
  <w:style w:type="paragraph" w:styleId="Footer">
    <w:name w:val="footer"/>
    <w:basedOn w:val="Normal"/>
    <w:link w:val="FooterChar"/>
    <w:uiPriority w:val="99"/>
    <w:unhideWhenUsed/>
    <w:rsid w:val="00427491"/>
    <w:pPr>
      <w:tabs>
        <w:tab w:val="center" w:pos="4513"/>
        <w:tab w:val="right" w:pos="9026"/>
      </w:tabs>
    </w:pPr>
  </w:style>
  <w:style w:type="character" w:customStyle="1" w:styleId="FooterChar">
    <w:name w:val="Footer Char"/>
    <w:basedOn w:val="DefaultParagraphFont"/>
    <w:link w:val="Footer"/>
    <w:uiPriority w:val="99"/>
    <w:rsid w:val="00427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99808">
      <w:bodyDiv w:val="1"/>
      <w:marLeft w:val="0"/>
      <w:marRight w:val="0"/>
      <w:marTop w:val="0"/>
      <w:marBottom w:val="0"/>
      <w:divBdr>
        <w:top w:val="none" w:sz="0" w:space="0" w:color="auto"/>
        <w:left w:val="none" w:sz="0" w:space="0" w:color="auto"/>
        <w:bottom w:val="none" w:sz="0" w:space="0" w:color="auto"/>
        <w:right w:val="none" w:sz="0" w:space="0" w:color="auto"/>
      </w:divBdr>
    </w:div>
    <w:div w:id="66342377">
      <w:bodyDiv w:val="1"/>
      <w:marLeft w:val="0"/>
      <w:marRight w:val="0"/>
      <w:marTop w:val="0"/>
      <w:marBottom w:val="0"/>
      <w:divBdr>
        <w:top w:val="none" w:sz="0" w:space="0" w:color="auto"/>
        <w:left w:val="none" w:sz="0" w:space="0" w:color="auto"/>
        <w:bottom w:val="none" w:sz="0" w:space="0" w:color="auto"/>
        <w:right w:val="none" w:sz="0" w:space="0" w:color="auto"/>
      </w:divBdr>
    </w:div>
    <w:div w:id="171922525">
      <w:bodyDiv w:val="1"/>
      <w:marLeft w:val="0"/>
      <w:marRight w:val="0"/>
      <w:marTop w:val="0"/>
      <w:marBottom w:val="0"/>
      <w:divBdr>
        <w:top w:val="none" w:sz="0" w:space="0" w:color="auto"/>
        <w:left w:val="none" w:sz="0" w:space="0" w:color="auto"/>
        <w:bottom w:val="none" w:sz="0" w:space="0" w:color="auto"/>
        <w:right w:val="none" w:sz="0" w:space="0" w:color="auto"/>
      </w:divBdr>
    </w:div>
    <w:div w:id="262997332">
      <w:bodyDiv w:val="1"/>
      <w:marLeft w:val="0"/>
      <w:marRight w:val="0"/>
      <w:marTop w:val="0"/>
      <w:marBottom w:val="0"/>
      <w:divBdr>
        <w:top w:val="none" w:sz="0" w:space="0" w:color="auto"/>
        <w:left w:val="none" w:sz="0" w:space="0" w:color="auto"/>
        <w:bottom w:val="none" w:sz="0" w:space="0" w:color="auto"/>
        <w:right w:val="none" w:sz="0" w:space="0" w:color="auto"/>
      </w:divBdr>
    </w:div>
    <w:div w:id="292713294">
      <w:bodyDiv w:val="1"/>
      <w:marLeft w:val="0"/>
      <w:marRight w:val="0"/>
      <w:marTop w:val="0"/>
      <w:marBottom w:val="0"/>
      <w:divBdr>
        <w:top w:val="none" w:sz="0" w:space="0" w:color="auto"/>
        <w:left w:val="none" w:sz="0" w:space="0" w:color="auto"/>
        <w:bottom w:val="none" w:sz="0" w:space="0" w:color="auto"/>
        <w:right w:val="none" w:sz="0" w:space="0" w:color="auto"/>
      </w:divBdr>
    </w:div>
    <w:div w:id="349912168">
      <w:bodyDiv w:val="1"/>
      <w:marLeft w:val="0"/>
      <w:marRight w:val="0"/>
      <w:marTop w:val="0"/>
      <w:marBottom w:val="0"/>
      <w:divBdr>
        <w:top w:val="none" w:sz="0" w:space="0" w:color="auto"/>
        <w:left w:val="none" w:sz="0" w:space="0" w:color="auto"/>
        <w:bottom w:val="none" w:sz="0" w:space="0" w:color="auto"/>
        <w:right w:val="none" w:sz="0" w:space="0" w:color="auto"/>
      </w:divBdr>
    </w:div>
    <w:div w:id="376126273">
      <w:bodyDiv w:val="1"/>
      <w:marLeft w:val="0"/>
      <w:marRight w:val="0"/>
      <w:marTop w:val="0"/>
      <w:marBottom w:val="0"/>
      <w:divBdr>
        <w:top w:val="none" w:sz="0" w:space="0" w:color="auto"/>
        <w:left w:val="none" w:sz="0" w:space="0" w:color="auto"/>
        <w:bottom w:val="none" w:sz="0" w:space="0" w:color="auto"/>
        <w:right w:val="none" w:sz="0" w:space="0" w:color="auto"/>
      </w:divBdr>
    </w:div>
    <w:div w:id="477455077">
      <w:bodyDiv w:val="1"/>
      <w:marLeft w:val="0"/>
      <w:marRight w:val="0"/>
      <w:marTop w:val="0"/>
      <w:marBottom w:val="0"/>
      <w:divBdr>
        <w:top w:val="none" w:sz="0" w:space="0" w:color="auto"/>
        <w:left w:val="none" w:sz="0" w:space="0" w:color="auto"/>
        <w:bottom w:val="none" w:sz="0" w:space="0" w:color="auto"/>
        <w:right w:val="none" w:sz="0" w:space="0" w:color="auto"/>
      </w:divBdr>
    </w:div>
    <w:div w:id="526018811">
      <w:bodyDiv w:val="1"/>
      <w:marLeft w:val="0"/>
      <w:marRight w:val="0"/>
      <w:marTop w:val="0"/>
      <w:marBottom w:val="0"/>
      <w:divBdr>
        <w:top w:val="none" w:sz="0" w:space="0" w:color="auto"/>
        <w:left w:val="none" w:sz="0" w:space="0" w:color="auto"/>
        <w:bottom w:val="none" w:sz="0" w:space="0" w:color="auto"/>
        <w:right w:val="none" w:sz="0" w:space="0" w:color="auto"/>
      </w:divBdr>
    </w:div>
    <w:div w:id="535653656">
      <w:bodyDiv w:val="1"/>
      <w:marLeft w:val="0"/>
      <w:marRight w:val="0"/>
      <w:marTop w:val="0"/>
      <w:marBottom w:val="0"/>
      <w:divBdr>
        <w:top w:val="none" w:sz="0" w:space="0" w:color="auto"/>
        <w:left w:val="none" w:sz="0" w:space="0" w:color="auto"/>
        <w:bottom w:val="none" w:sz="0" w:space="0" w:color="auto"/>
        <w:right w:val="none" w:sz="0" w:space="0" w:color="auto"/>
      </w:divBdr>
    </w:div>
    <w:div w:id="568731436">
      <w:bodyDiv w:val="1"/>
      <w:marLeft w:val="0"/>
      <w:marRight w:val="0"/>
      <w:marTop w:val="0"/>
      <w:marBottom w:val="0"/>
      <w:divBdr>
        <w:top w:val="none" w:sz="0" w:space="0" w:color="auto"/>
        <w:left w:val="none" w:sz="0" w:space="0" w:color="auto"/>
        <w:bottom w:val="none" w:sz="0" w:space="0" w:color="auto"/>
        <w:right w:val="none" w:sz="0" w:space="0" w:color="auto"/>
      </w:divBdr>
    </w:div>
    <w:div w:id="675503488">
      <w:bodyDiv w:val="1"/>
      <w:marLeft w:val="0"/>
      <w:marRight w:val="0"/>
      <w:marTop w:val="0"/>
      <w:marBottom w:val="0"/>
      <w:divBdr>
        <w:top w:val="none" w:sz="0" w:space="0" w:color="auto"/>
        <w:left w:val="none" w:sz="0" w:space="0" w:color="auto"/>
        <w:bottom w:val="none" w:sz="0" w:space="0" w:color="auto"/>
        <w:right w:val="none" w:sz="0" w:space="0" w:color="auto"/>
      </w:divBdr>
    </w:div>
    <w:div w:id="828642419">
      <w:bodyDiv w:val="1"/>
      <w:marLeft w:val="0"/>
      <w:marRight w:val="0"/>
      <w:marTop w:val="0"/>
      <w:marBottom w:val="0"/>
      <w:divBdr>
        <w:top w:val="none" w:sz="0" w:space="0" w:color="auto"/>
        <w:left w:val="none" w:sz="0" w:space="0" w:color="auto"/>
        <w:bottom w:val="none" w:sz="0" w:space="0" w:color="auto"/>
        <w:right w:val="none" w:sz="0" w:space="0" w:color="auto"/>
      </w:divBdr>
    </w:div>
    <w:div w:id="838934609">
      <w:bodyDiv w:val="1"/>
      <w:marLeft w:val="0"/>
      <w:marRight w:val="0"/>
      <w:marTop w:val="0"/>
      <w:marBottom w:val="0"/>
      <w:divBdr>
        <w:top w:val="none" w:sz="0" w:space="0" w:color="auto"/>
        <w:left w:val="none" w:sz="0" w:space="0" w:color="auto"/>
        <w:bottom w:val="none" w:sz="0" w:space="0" w:color="auto"/>
        <w:right w:val="none" w:sz="0" w:space="0" w:color="auto"/>
      </w:divBdr>
    </w:div>
    <w:div w:id="864177661">
      <w:bodyDiv w:val="1"/>
      <w:marLeft w:val="0"/>
      <w:marRight w:val="0"/>
      <w:marTop w:val="0"/>
      <w:marBottom w:val="0"/>
      <w:divBdr>
        <w:top w:val="none" w:sz="0" w:space="0" w:color="auto"/>
        <w:left w:val="none" w:sz="0" w:space="0" w:color="auto"/>
        <w:bottom w:val="none" w:sz="0" w:space="0" w:color="auto"/>
        <w:right w:val="none" w:sz="0" w:space="0" w:color="auto"/>
      </w:divBdr>
    </w:div>
    <w:div w:id="897010456">
      <w:bodyDiv w:val="1"/>
      <w:marLeft w:val="0"/>
      <w:marRight w:val="0"/>
      <w:marTop w:val="0"/>
      <w:marBottom w:val="0"/>
      <w:divBdr>
        <w:top w:val="none" w:sz="0" w:space="0" w:color="auto"/>
        <w:left w:val="none" w:sz="0" w:space="0" w:color="auto"/>
        <w:bottom w:val="none" w:sz="0" w:space="0" w:color="auto"/>
        <w:right w:val="none" w:sz="0" w:space="0" w:color="auto"/>
      </w:divBdr>
    </w:div>
    <w:div w:id="912354054">
      <w:bodyDiv w:val="1"/>
      <w:marLeft w:val="0"/>
      <w:marRight w:val="0"/>
      <w:marTop w:val="0"/>
      <w:marBottom w:val="0"/>
      <w:divBdr>
        <w:top w:val="none" w:sz="0" w:space="0" w:color="auto"/>
        <w:left w:val="none" w:sz="0" w:space="0" w:color="auto"/>
        <w:bottom w:val="none" w:sz="0" w:space="0" w:color="auto"/>
        <w:right w:val="none" w:sz="0" w:space="0" w:color="auto"/>
      </w:divBdr>
    </w:div>
    <w:div w:id="927497818">
      <w:bodyDiv w:val="1"/>
      <w:marLeft w:val="0"/>
      <w:marRight w:val="0"/>
      <w:marTop w:val="0"/>
      <w:marBottom w:val="0"/>
      <w:divBdr>
        <w:top w:val="none" w:sz="0" w:space="0" w:color="auto"/>
        <w:left w:val="none" w:sz="0" w:space="0" w:color="auto"/>
        <w:bottom w:val="none" w:sz="0" w:space="0" w:color="auto"/>
        <w:right w:val="none" w:sz="0" w:space="0" w:color="auto"/>
      </w:divBdr>
    </w:div>
    <w:div w:id="1010720919">
      <w:bodyDiv w:val="1"/>
      <w:marLeft w:val="0"/>
      <w:marRight w:val="0"/>
      <w:marTop w:val="0"/>
      <w:marBottom w:val="0"/>
      <w:divBdr>
        <w:top w:val="none" w:sz="0" w:space="0" w:color="auto"/>
        <w:left w:val="none" w:sz="0" w:space="0" w:color="auto"/>
        <w:bottom w:val="none" w:sz="0" w:space="0" w:color="auto"/>
        <w:right w:val="none" w:sz="0" w:space="0" w:color="auto"/>
      </w:divBdr>
    </w:div>
    <w:div w:id="1058819971">
      <w:bodyDiv w:val="1"/>
      <w:marLeft w:val="0"/>
      <w:marRight w:val="0"/>
      <w:marTop w:val="0"/>
      <w:marBottom w:val="0"/>
      <w:divBdr>
        <w:top w:val="none" w:sz="0" w:space="0" w:color="auto"/>
        <w:left w:val="none" w:sz="0" w:space="0" w:color="auto"/>
        <w:bottom w:val="none" w:sz="0" w:space="0" w:color="auto"/>
        <w:right w:val="none" w:sz="0" w:space="0" w:color="auto"/>
      </w:divBdr>
    </w:div>
    <w:div w:id="1167210895">
      <w:bodyDiv w:val="1"/>
      <w:marLeft w:val="0"/>
      <w:marRight w:val="0"/>
      <w:marTop w:val="0"/>
      <w:marBottom w:val="0"/>
      <w:divBdr>
        <w:top w:val="none" w:sz="0" w:space="0" w:color="auto"/>
        <w:left w:val="none" w:sz="0" w:space="0" w:color="auto"/>
        <w:bottom w:val="none" w:sz="0" w:space="0" w:color="auto"/>
        <w:right w:val="none" w:sz="0" w:space="0" w:color="auto"/>
      </w:divBdr>
    </w:div>
    <w:div w:id="1371996834">
      <w:bodyDiv w:val="1"/>
      <w:marLeft w:val="0"/>
      <w:marRight w:val="0"/>
      <w:marTop w:val="0"/>
      <w:marBottom w:val="0"/>
      <w:divBdr>
        <w:top w:val="none" w:sz="0" w:space="0" w:color="auto"/>
        <w:left w:val="none" w:sz="0" w:space="0" w:color="auto"/>
        <w:bottom w:val="none" w:sz="0" w:space="0" w:color="auto"/>
        <w:right w:val="none" w:sz="0" w:space="0" w:color="auto"/>
      </w:divBdr>
    </w:div>
    <w:div w:id="1413965569">
      <w:bodyDiv w:val="1"/>
      <w:marLeft w:val="0"/>
      <w:marRight w:val="0"/>
      <w:marTop w:val="0"/>
      <w:marBottom w:val="0"/>
      <w:divBdr>
        <w:top w:val="none" w:sz="0" w:space="0" w:color="auto"/>
        <w:left w:val="none" w:sz="0" w:space="0" w:color="auto"/>
        <w:bottom w:val="none" w:sz="0" w:space="0" w:color="auto"/>
        <w:right w:val="none" w:sz="0" w:space="0" w:color="auto"/>
      </w:divBdr>
    </w:div>
    <w:div w:id="1522667754">
      <w:bodyDiv w:val="1"/>
      <w:marLeft w:val="0"/>
      <w:marRight w:val="0"/>
      <w:marTop w:val="0"/>
      <w:marBottom w:val="0"/>
      <w:divBdr>
        <w:top w:val="none" w:sz="0" w:space="0" w:color="auto"/>
        <w:left w:val="none" w:sz="0" w:space="0" w:color="auto"/>
        <w:bottom w:val="none" w:sz="0" w:space="0" w:color="auto"/>
        <w:right w:val="none" w:sz="0" w:space="0" w:color="auto"/>
      </w:divBdr>
    </w:div>
    <w:div w:id="1523587282">
      <w:bodyDiv w:val="1"/>
      <w:marLeft w:val="0"/>
      <w:marRight w:val="0"/>
      <w:marTop w:val="0"/>
      <w:marBottom w:val="0"/>
      <w:divBdr>
        <w:top w:val="none" w:sz="0" w:space="0" w:color="auto"/>
        <w:left w:val="none" w:sz="0" w:space="0" w:color="auto"/>
        <w:bottom w:val="none" w:sz="0" w:space="0" w:color="auto"/>
        <w:right w:val="none" w:sz="0" w:space="0" w:color="auto"/>
      </w:divBdr>
    </w:div>
    <w:div w:id="1592473473">
      <w:bodyDiv w:val="1"/>
      <w:marLeft w:val="0"/>
      <w:marRight w:val="0"/>
      <w:marTop w:val="0"/>
      <w:marBottom w:val="0"/>
      <w:divBdr>
        <w:top w:val="none" w:sz="0" w:space="0" w:color="auto"/>
        <w:left w:val="none" w:sz="0" w:space="0" w:color="auto"/>
        <w:bottom w:val="none" w:sz="0" w:space="0" w:color="auto"/>
        <w:right w:val="none" w:sz="0" w:space="0" w:color="auto"/>
      </w:divBdr>
    </w:div>
    <w:div w:id="1690449472">
      <w:bodyDiv w:val="1"/>
      <w:marLeft w:val="0"/>
      <w:marRight w:val="0"/>
      <w:marTop w:val="0"/>
      <w:marBottom w:val="0"/>
      <w:divBdr>
        <w:top w:val="none" w:sz="0" w:space="0" w:color="auto"/>
        <w:left w:val="none" w:sz="0" w:space="0" w:color="auto"/>
        <w:bottom w:val="none" w:sz="0" w:space="0" w:color="auto"/>
        <w:right w:val="none" w:sz="0" w:space="0" w:color="auto"/>
      </w:divBdr>
    </w:div>
    <w:div w:id="1754204320">
      <w:bodyDiv w:val="1"/>
      <w:marLeft w:val="0"/>
      <w:marRight w:val="0"/>
      <w:marTop w:val="0"/>
      <w:marBottom w:val="0"/>
      <w:divBdr>
        <w:top w:val="none" w:sz="0" w:space="0" w:color="auto"/>
        <w:left w:val="none" w:sz="0" w:space="0" w:color="auto"/>
        <w:bottom w:val="none" w:sz="0" w:space="0" w:color="auto"/>
        <w:right w:val="none" w:sz="0" w:space="0" w:color="auto"/>
      </w:divBdr>
    </w:div>
    <w:div w:id="1883055686">
      <w:bodyDiv w:val="1"/>
      <w:marLeft w:val="0"/>
      <w:marRight w:val="0"/>
      <w:marTop w:val="0"/>
      <w:marBottom w:val="0"/>
      <w:divBdr>
        <w:top w:val="none" w:sz="0" w:space="0" w:color="auto"/>
        <w:left w:val="none" w:sz="0" w:space="0" w:color="auto"/>
        <w:bottom w:val="none" w:sz="0" w:space="0" w:color="auto"/>
        <w:right w:val="none" w:sz="0" w:space="0" w:color="auto"/>
      </w:divBdr>
    </w:div>
    <w:div w:id="1964844596">
      <w:bodyDiv w:val="1"/>
      <w:marLeft w:val="0"/>
      <w:marRight w:val="0"/>
      <w:marTop w:val="0"/>
      <w:marBottom w:val="0"/>
      <w:divBdr>
        <w:top w:val="none" w:sz="0" w:space="0" w:color="auto"/>
        <w:left w:val="none" w:sz="0" w:space="0" w:color="auto"/>
        <w:bottom w:val="none" w:sz="0" w:space="0" w:color="auto"/>
        <w:right w:val="none" w:sz="0" w:space="0" w:color="auto"/>
      </w:divBdr>
    </w:div>
    <w:div w:id="1991639071">
      <w:bodyDiv w:val="1"/>
      <w:marLeft w:val="0"/>
      <w:marRight w:val="0"/>
      <w:marTop w:val="0"/>
      <w:marBottom w:val="0"/>
      <w:divBdr>
        <w:top w:val="none" w:sz="0" w:space="0" w:color="auto"/>
        <w:left w:val="none" w:sz="0" w:space="0" w:color="auto"/>
        <w:bottom w:val="none" w:sz="0" w:space="0" w:color="auto"/>
        <w:right w:val="none" w:sz="0" w:space="0" w:color="auto"/>
      </w:divBdr>
    </w:div>
    <w:div w:id="2000302220">
      <w:bodyDiv w:val="1"/>
      <w:marLeft w:val="0"/>
      <w:marRight w:val="0"/>
      <w:marTop w:val="0"/>
      <w:marBottom w:val="0"/>
      <w:divBdr>
        <w:top w:val="none" w:sz="0" w:space="0" w:color="auto"/>
        <w:left w:val="none" w:sz="0" w:space="0" w:color="auto"/>
        <w:bottom w:val="none" w:sz="0" w:space="0" w:color="auto"/>
        <w:right w:val="none" w:sz="0" w:space="0" w:color="auto"/>
      </w:divBdr>
    </w:div>
    <w:div w:id="2022538080">
      <w:bodyDiv w:val="1"/>
      <w:marLeft w:val="0"/>
      <w:marRight w:val="0"/>
      <w:marTop w:val="0"/>
      <w:marBottom w:val="0"/>
      <w:divBdr>
        <w:top w:val="none" w:sz="0" w:space="0" w:color="auto"/>
        <w:left w:val="none" w:sz="0" w:space="0" w:color="auto"/>
        <w:bottom w:val="none" w:sz="0" w:space="0" w:color="auto"/>
        <w:right w:val="none" w:sz="0" w:space="0" w:color="auto"/>
      </w:divBdr>
    </w:div>
    <w:div w:id="2073379782">
      <w:bodyDiv w:val="1"/>
      <w:marLeft w:val="0"/>
      <w:marRight w:val="0"/>
      <w:marTop w:val="0"/>
      <w:marBottom w:val="0"/>
      <w:divBdr>
        <w:top w:val="none" w:sz="0" w:space="0" w:color="auto"/>
        <w:left w:val="none" w:sz="0" w:space="0" w:color="auto"/>
        <w:bottom w:val="none" w:sz="0" w:space="0" w:color="auto"/>
        <w:right w:val="none" w:sz="0" w:space="0" w:color="auto"/>
      </w:divBdr>
    </w:div>
    <w:div w:id="2075201923">
      <w:bodyDiv w:val="1"/>
      <w:marLeft w:val="0"/>
      <w:marRight w:val="0"/>
      <w:marTop w:val="0"/>
      <w:marBottom w:val="0"/>
      <w:divBdr>
        <w:top w:val="none" w:sz="0" w:space="0" w:color="auto"/>
        <w:left w:val="none" w:sz="0" w:space="0" w:color="auto"/>
        <w:bottom w:val="none" w:sz="0" w:space="0" w:color="auto"/>
        <w:right w:val="none" w:sz="0" w:space="0" w:color="auto"/>
      </w:divBdr>
    </w:div>
    <w:div w:id="2104254640">
      <w:bodyDiv w:val="1"/>
      <w:marLeft w:val="0"/>
      <w:marRight w:val="0"/>
      <w:marTop w:val="0"/>
      <w:marBottom w:val="0"/>
      <w:divBdr>
        <w:top w:val="none" w:sz="0" w:space="0" w:color="auto"/>
        <w:left w:val="none" w:sz="0" w:space="0" w:color="auto"/>
        <w:bottom w:val="none" w:sz="0" w:space="0" w:color="auto"/>
        <w:right w:val="none" w:sz="0" w:space="0" w:color="auto"/>
      </w:divBdr>
    </w:div>
    <w:div w:id="2111777298">
      <w:bodyDiv w:val="1"/>
      <w:marLeft w:val="0"/>
      <w:marRight w:val="0"/>
      <w:marTop w:val="0"/>
      <w:marBottom w:val="0"/>
      <w:divBdr>
        <w:top w:val="none" w:sz="0" w:space="0" w:color="auto"/>
        <w:left w:val="none" w:sz="0" w:space="0" w:color="auto"/>
        <w:bottom w:val="none" w:sz="0" w:space="0" w:color="auto"/>
        <w:right w:val="none" w:sz="0" w:space="0" w:color="auto"/>
      </w:divBdr>
    </w:div>
    <w:div w:id="213628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vocacy@visionaustralia.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ervicesaustralia.gov.au/sa01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ss.gov.au/seniors/programmes-services/work-bonu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servicesaustralia.gov.au/sa36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ab33ea-b52e-4e58-af8c-eecb78d5b6bf" xsi:nil="true"/>
    <lcf76f155ced4ddcb4097134ff3c332f xmlns="afff87dc-4219-4f9e-8870-67c6c4e8c57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1EB0BCC4975E4EB042F8C0090C9F36" ma:contentTypeVersion="14" ma:contentTypeDescription="Create a new document." ma:contentTypeScope="" ma:versionID="efe902521660148843c803fb37b50ccd">
  <xsd:schema xmlns:xsd="http://www.w3.org/2001/XMLSchema" xmlns:xs="http://www.w3.org/2001/XMLSchema" xmlns:p="http://schemas.microsoft.com/office/2006/metadata/properties" xmlns:ns2="afff87dc-4219-4f9e-8870-67c6c4e8c575" xmlns:ns3="4dab33ea-b52e-4e58-af8c-eecb78d5b6bf" targetNamespace="http://schemas.microsoft.com/office/2006/metadata/properties" ma:root="true" ma:fieldsID="e4e3e08e9eeaa701ae7ebedd675f003a" ns2:_="" ns3:_="">
    <xsd:import namespace="afff87dc-4219-4f9e-8870-67c6c4e8c575"/>
    <xsd:import namespace="4dab33ea-b52e-4e58-af8c-eecb78d5b6b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87dc-4219-4f9e-8870-67c6c4e8c5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181efe5-c98e-4252-a444-86e2a79e142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ab33ea-b52e-4e58-af8c-eecb78d5b6b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88a3551-0b77-4c8f-9246-c24ff0bf92fa}" ma:internalName="TaxCatchAll" ma:showField="CatchAllData" ma:web="4dab33ea-b52e-4e58-af8c-eecb78d5b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8D2665-3E58-4F13-93A3-35A43D81FFDB}">
  <ds:schemaRefs>
    <ds:schemaRef ds:uri="http://schemas.microsoft.com/office/2006/metadata/properties"/>
    <ds:schemaRef ds:uri="http://schemas.microsoft.com/office/infopath/2007/PartnerControls"/>
    <ds:schemaRef ds:uri="4dab33ea-b52e-4e58-af8c-eecb78d5b6bf"/>
    <ds:schemaRef ds:uri="afff87dc-4219-4f9e-8870-67c6c4e8c575"/>
  </ds:schemaRefs>
</ds:datastoreItem>
</file>

<file path=customXml/itemProps2.xml><?xml version="1.0" encoding="utf-8"?>
<ds:datastoreItem xmlns:ds="http://schemas.openxmlformats.org/officeDocument/2006/customXml" ds:itemID="{69CBF799-F9FD-4CAC-A759-1FB8B196DF2F}">
  <ds:schemaRefs>
    <ds:schemaRef ds:uri="http://schemas.microsoft.com/sharepoint/v3/contenttype/forms"/>
  </ds:schemaRefs>
</ds:datastoreItem>
</file>

<file path=customXml/itemProps3.xml><?xml version="1.0" encoding="utf-8"?>
<ds:datastoreItem xmlns:ds="http://schemas.openxmlformats.org/officeDocument/2006/customXml" ds:itemID="{5C5B97DE-44C4-48BE-9F82-5D0A9A8B5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87dc-4219-4f9e-8870-67c6c4e8c575"/>
    <ds:schemaRef ds:uri="4dab33ea-b52e-4e58-af8c-eecb78d5b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1129</Words>
  <Characters>5748</Characters>
  <Application>Microsoft Office Word</Application>
  <DocSecurity>0</DocSecurity>
  <Lines>179</Lines>
  <Paragraphs>68</Paragraphs>
  <ScaleCrop>false</ScaleCrop>
  <Company>Vision Australia</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2026-04-30T01:13:00Z</dcterms:created>
  <dcterms:modified xsi:type="dcterms:W3CDTF">2026-04-30T01:14:00Z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0x010100F21EB0BCC4975E4EB042F8C0090C9F36</vt:lpwstr>
  </property>
  <property fmtid="{D5CDD505-2E9C-101B-9397-08002B2CF9AE}" pid="3" name="MediaServiceImageTags">
    <vt:lpwstr/>
  </property>
</Properties>
</file>