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2E92" w14:textId="7E23C114" w:rsidR="006C415B" w:rsidRPr="00FF63D5" w:rsidRDefault="006C415B" w:rsidP="006C415B">
      <w:pPr>
        <w:pStyle w:val="Heading1"/>
        <w:rPr>
          <w:rFonts w:cs="Arial"/>
          <w:color w:val="auto"/>
        </w:rPr>
      </w:pPr>
      <w:r>
        <w:rPr>
          <w:rFonts w:cs="Arial"/>
          <w:color w:val="auto"/>
        </w:rPr>
        <w:t xml:space="preserve">Navigating </w:t>
      </w:r>
      <w:r w:rsidRPr="00FF63D5">
        <w:rPr>
          <w:rFonts w:cs="Arial"/>
          <w:color w:val="auto"/>
        </w:rPr>
        <w:t>Vision Australia</w:t>
      </w:r>
      <w:r>
        <w:rPr>
          <w:rFonts w:cs="Arial"/>
          <w:color w:val="auto"/>
        </w:rPr>
        <w:t>’s</w:t>
      </w:r>
      <w:r w:rsidRPr="00FF63D5">
        <w:rPr>
          <w:rFonts w:cs="Arial"/>
          <w:color w:val="auto"/>
        </w:rPr>
        <w:t xml:space="preserve"> Learning Hub </w:t>
      </w:r>
      <w:r>
        <w:rPr>
          <w:rFonts w:cs="Arial"/>
          <w:color w:val="auto"/>
        </w:rPr>
        <w:t>with Assistive Technology</w:t>
      </w:r>
    </w:p>
    <w:p w14:paraId="374F8B58" w14:textId="7180E91F" w:rsidR="606CAFE1" w:rsidRDefault="606CAFE1" w:rsidP="606CAFE1">
      <w:pPr>
        <w:spacing w:line="259" w:lineRule="auto"/>
      </w:pPr>
    </w:p>
    <w:p w14:paraId="113CE75D" w14:textId="518374CC" w:rsidR="5FD3DF2A" w:rsidRDefault="006C415B" w:rsidP="606CAFE1">
      <w:pPr>
        <w:pStyle w:val="Heading2"/>
      </w:pPr>
      <w:r>
        <w:t>Introduction</w:t>
      </w:r>
    </w:p>
    <w:p w14:paraId="6ABF3FB2" w14:textId="540714C0" w:rsidR="606CAFE1" w:rsidRDefault="006C415B" w:rsidP="606CAFE1">
      <w:pPr>
        <w:spacing w:line="259" w:lineRule="auto"/>
        <w:rPr>
          <w:rFonts w:cs="Arial"/>
        </w:rPr>
      </w:pPr>
      <w:r w:rsidRPr="00FF63D5">
        <w:rPr>
          <w:rFonts w:cs="Arial"/>
        </w:rPr>
        <w:t>This guide is designed</w:t>
      </w:r>
      <w:r>
        <w:rPr>
          <w:rFonts w:cs="Arial"/>
        </w:rPr>
        <w:t xml:space="preserve"> to support</w:t>
      </w:r>
      <w:r w:rsidRPr="00FF63D5">
        <w:rPr>
          <w:rFonts w:cs="Arial"/>
        </w:rPr>
        <w:t xml:space="preserve"> screen reader</w:t>
      </w:r>
      <w:r>
        <w:rPr>
          <w:rFonts w:cs="Arial"/>
        </w:rPr>
        <w:t xml:space="preserve"> and magnification users in</w:t>
      </w:r>
      <w:r w:rsidRPr="00FF63D5">
        <w:rPr>
          <w:rFonts w:cs="Arial"/>
        </w:rPr>
        <w:t xml:space="preserve"> navigating the Vision Australia Learning Hub</w:t>
      </w:r>
      <w:r>
        <w:rPr>
          <w:rFonts w:cs="Arial"/>
        </w:rPr>
        <w:t>. It includes an overview of the Learning Hub page structure as well as some commonly used web navigation shortcuts for screen readers.</w:t>
      </w:r>
    </w:p>
    <w:p w14:paraId="4D313D9A" w14:textId="77777777" w:rsidR="006C415B" w:rsidRDefault="006C415B" w:rsidP="606CAFE1">
      <w:pPr>
        <w:spacing w:line="259" w:lineRule="auto"/>
        <w:rPr>
          <w:rFonts w:cs="Arial"/>
        </w:rPr>
      </w:pPr>
    </w:p>
    <w:p w14:paraId="4728D6E5" w14:textId="7C66909D" w:rsidR="006C415B" w:rsidRDefault="006C415B" w:rsidP="606CAFE1">
      <w:pPr>
        <w:spacing w:line="259" w:lineRule="auto"/>
        <w:rPr>
          <w:rFonts w:cs="Arial"/>
        </w:rPr>
      </w:pPr>
      <w:r>
        <w:rPr>
          <w:rFonts w:cs="Arial"/>
        </w:rPr>
        <w:t xml:space="preserve">If you require further support, please contact </w:t>
      </w:r>
      <w:hyperlink r:id="rId11" w:history="1">
        <w:r w:rsidRPr="001243CD">
          <w:rPr>
            <w:rStyle w:val="Hyperlink"/>
            <w:rFonts w:cs="Arial"/>
          </w:rPr>
          <w:t>learning@visionaustralia.org</w:t>
        </w:r>
      </w:hyperlink>
      <w:r>
        <w:rPr>
          <w:rFonts w:cs="Arial"/>
        </w:rPr>
        <w:t xml:space="preserve">. </w:t>
      </w:r>
    </w:p>
    <w:p w14:paraId="36E46A92" w14:textId="77777777" w:rsidR="006C415B" w:rsidRDefault="006C415B" w:rsidP="606CAFE1">
      <w:pPr>
        <w:spacing w:line="259" w:lineRule="auto"/>
      </w:pPr>
    </w:p>
    <w:p w14:paraId="782BCD4C" w14:textId="77777777" w:rsidR="006C415B" w:rsidRDefault="006C415B" w:rsidP="006C415B">
      <w:pPr>
        <w:pStyle w:val="Heading2"/>
        <w:rPr>
          <w:rFonts w:cs="Arial"/>
          <w:color w:val="auto"/>
        </w:rPr>
      </w:pPr>
      <w:r w:rsidRPr="00FF63D5">
        <w:rPr>
          <w:rFonts w:cs="Arial"/>
          <w:color w:val="auto"/>
        </w:rPr>
        <w:t>Home Page Navigation</w:t>
      </w:r>
    </w:p>
    <w:p w14:paraId="451CF8E4" w14:textId="000F82C2" w:rsidR="006C415B" w:rsidRDefault="006C415B" w:rsidP="006C415B">
      <w:pPr>
        <w:rPr>
          <w:rFonts w:cs="Arial"/>
        </w:rPr>
      </w:pPr>
      <w:r w:rsidRPr="00FF63D5">
        <w:rPr>
          <w:rFonts w:cs="Arial"/>
        </w:rPr>
        <w:t xml:space="preserve">When </w:t>
      </w:r>
      <w:r>
        <w:rPr>
          <w:rFonts w:cs="Arial"/>
        </w:rPr>
        <w:t>first signing into the Learning Hub</w:t>
      </w:r>
      <w:r w:rsidRPr="00FF63D5">
        <w:rPr>
          <w:rFonts w:cs="Arial"/>
        </w:rPr>
        <w:t xml:space="preserve">, </w:t>
      </w:r>
      <w:r>
        <w:rPr>
          <w:rFonts w:cs="Arial"/>
        </w:rPr>
        <w:t>users are taken to the</w:t>
      </w:r>
      <w:r w:rsidRPr="00FF63D5">
        <w:rPr>
          <w:rFonts w:cs="Arial"/>
        </w:rPr>
        <w:t xml:space="preserve"> Home Page</w:t>
      </w:r>
      <w:r>
        <w:rPr>
          <w:rFonts w:cs="Arial"/>
        </w:rPr>
        <w:t>. This includes the following sections:</w:t>
      </w:r>
      <w:r>
        <w:rPr>
          <w:rFonts w:cs="Arial"/>
        </w:rPr>
        <w:br/>
      </w:r>
    </w:p>
    <w:tbl>
      <w:tblPr>
        <w:tblW w:w="9151" w:type="dxa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4678"/>
        <w:gridCol w:w="1801"/>
      </w:tblGrid>
      <w:tr w:rsidR="006C415B" w:rsidRPr="00C129F6" w14:paraId="2FF9AB30" w14:textId="77777777" w:rsidTr="14E2DC4F">
        <w:trPr>
          <w:tblHeader/>
        </w:trPr>
        <w:tc>
          <w:tcPr>
            <w:tcW w:w="2672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35D8B06" w14:textId="77777777" w:rsidR="006C415B" w:rsidRPr="00C129F6" w:rsidRDefault="006C415B" w:rsidP="00AC1948">
            <w:r w:rsidRPr="00C129F6">
              <w:rPr>
                <w:b/>
                <w:bCs/>
              </w:rPr>
              <w:t>Page Element Description</w:t>
            </w:r>
          </w:p>
        </w:tc>
        <w:tc>
          <w:tcPr>
            <w:tcW w:w="467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6AB5E30" w14:textId="77777777" w:rsidR="006C415B" w:rsidRPr="00C129F6" w:rsidRDefault="006C415B" w:rsidP="00AC1948">
            <w:r w:rsidRPr="00C129F6">
              <w:rPr>
                <w:b/>
                <w:bCs/>
              </w:rPr>
              <w:t>Visual Description &amp; Location</w:t>
            </w:r>
          </w:p>
        </w:tc>
        <w:tc>
          <w:tcPr>
            <w:tcW w:w="1801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7493EC3" w14:textId="34601370" w:rsidR="006C415B" w:rsidRPr="00C129F6" w:rsidRDefault="006C415B" w:rsidP="00AC1948">
            <w:r>
              <w:rPr>
                <w:b/>
                <w:bCs/>
              </w:rPr>
              <w:t>Screen reader</w:t>
            </w:r>
            <w:r w:rsidRPr="00C129F6">
              <w:rPr>
                <w:b/>
                <w:bCs/>
              </w:rPr>
              <w:t xml:space="preserve"> Shortcut</w:t>
            </w:r>
          </w:p>
        </w:tc>
      </w:tr>
      <w:tr w:rsidR="006C415B" w:rsidRPr="00C129F6" w14:paraId="5977C2F8" w14:textId="77777777" w:rsidTr="14E2DC4F">
        <w:tc>
          <w:tcPr>
            <w:tcW w:w="2672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8291CF1" w14:textId="77777777" w:rsidR="006C415B" w:rsidRPr="00C129F6" w:rsidRDefault="006C415B" w:rsidP="00AC1948">
            <w:r w:rsidRPr="00C129F6">
              <w:rPr>
                <w:b/>
                <w:bCs/>
                <w:lang w:val="en-US"/>
              </w:rPr>
              <w:t>Course Search Bar</w:t>
            </w:r>
          </w:p>
        </w:tc>
        <w:tc>
          <w:tcPr>
            <w:tcW w:w="467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C480E7B" w14:textId="77777777" w:rsidR="006C415B" w:rsidRPr="00C129F6" w:rsidRDefault="006C415B" w:rsidP="00AC1948">
            <w:r w:rsidRPr="00C129F6">
              <w:t>Top right of page, shown as a box with magnifying glass icon and the word ‘</w:t>
            </w:r>
            <w:r w:rsidRPr="00123CA7">
              <w:rPr>
                <w:b/>
                <w:bCs/>
              </w:rPr>
              <w:t>Search’</w:t>
            </w:r>
          </w:p>
        </w:tc>
        <w:tc>
          <w:tcPr>
            <w:tcW w:w="1801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3608914" w14:textId="60C96E4E" w:rsidR="006C415B" w:rsidRPr="00C129F6" w:rsidRDefault="006C415B" w:rsidP="00AC1948">
            <w:r w:rsidRPr="00C129F6">
              <w:t>E</w:t>
            </w:r>
            <w:r>
              <w:t xml:space="preserve"> or Tab</w:t>
            </w:r>
          </w:p>
        </w:tc>
      </w:tr>
      <w:tr w:rsidR="006C415B" w:rsidRPr="00C129F6" w14:paraId="64E3797D" w14:textId="77777777" w:rsidTr="14E2DC4F">
        <w:tc>
          <w:tcPr>
            <w:tcW w:w="2672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27F83ED" w14:textId="77777777" w:rsidR="006C415B" w:rsidRPr="00C129F6" w:rsidRDefault="006C415B" w:rsidP="00AC1948">
            <w:r w:rsidRPr="14E2DC4F">
              <w:t>Links for ‘</w:t>
            </w:r>
            <w:r w:rsidRPr="14E2DC4F">
              <w:rPr>
                <w:b/>
                <w:bCs/>
              </w:rPr>
              <w:t>Home</w:t>
            </w:r>
            <w:r w:rsidRPr="14E2DC4F">
              <w:t>’, '</w:t>
            </w:r>
            <w:r w:rsidRPr="14E2DC4F">
              <w:rPr>
                <w:b/>
                <w:bCs/>
              </w:rPr>
              <w:t>Catalogue</w:t>
            </w:r>
            <w:r w:rsidRPr="14E2DC4F">
              <w:t>',</w:t>
            </w:r>
          </w:p>
        </w:tc>
        <w:tc>
          <w:tcPr>
            <w:tcW w:w="467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0F50126" w14:textId="31A78388" w:rsidR="006C415B" w:rsidRPr="00C129F6" w:rsidRDefault="006C415B" w:rsidP="00AC1948">
            <w:r w:rsidRPr="00C129F6">
              <w:t>Top right of page, horizontally aligned after the search bar</w:t>
            </w:r>
            <w:r>
              <w:t>. On mobile these options collapse under a ‘</w:t>
            </w:r>
            <w:r w:rsidRPr="00123CA7">
              <w:rPr>
                <w:b/>
                <w:bCs/>
              </w:rPr>
              <w:t>more’</w:t>
            </w:r>
            <w:r>
              <w:t xml:space="preserve"> button (denoted as a ‘burger stack’, with three horizontal lines)</w:t>
            </w:r>
          </w:p>
        </w:tc>
        <w:tc>
          <w:tcPr>
            <w:tcW w:w="1801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239F7C7" w14:textId="3039B914" w:rsidR="006C415B" w:rsidRPr="00C129F6" w:rsidRDefault="006C415B" w:rsidP="00AC1948">
            <w:r w:rsidRPr="00C129F6">
              <w:t>Tab or Insert+F7</w:t>
            </w:r>
            <w:r>
              <w:t xml:space="preserve"> to access Links List</w:t>
            </w:r>
          </w:p>
        </w:tc>
      </w:tr>
      <w:tr w:rsidR="006C415B" w:rsidRPr="00C129F6" w14:paraId="79A84CDB" w14:textId="77777777" w:rsidTr="14E2DC4F">
        <w:tc>
          <w:tcPr>
            <w:tcW w:w="2672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05B89558" w14:textId="77777777" w:rsidR="006C415B" w:rsidRPr="00C129F6" w:rsidRDefault="006C415B" w:rsidP="00AC1948">
            <w:r w:rsidRPr="00C129F6">
              <w:rPr>
                <w:lang w:val="en-US"/>
              </w:rPr>
              <w:t>Buttons for ‘</w:t>
            </w:r>
            <w:r w:rsidRPr="00C129F6">
              <w:rPr>
                <w:b/>
                <w:bCs/>
                <w:lang w:val="en-US"/>
              </w:rPr>
              <w:t>Notifications</w:t>
            </w:r>
            <w:r w:rsidRPr="00C129F6">
              <w:rPr>
                <w:lang w:val="en-US"/>
              </w:rPr>
              <w:t>’ and ‘</w:t>
            </w:r>
            <w:r w:rsidRPr="00C129F6">
              <w:rPr>
                <w:b/>
                <w:bCs/>
                <w:lang w:val="en-US"/>
              </w:rPr>
              <w:t>Profile</w:t>
            </w:r>
            <w:r w:rsidRPr="00C129F6">
              <w:rPr>
                <w:lang w:val="en-US"/>
              </w:rPr>
              <w:t>’ access</w:t>
            </w:r>
          </w:p>
        </w:tc>
        <w:tc>
          <w:tcPr>
            <w:tcW w:w="467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545F7C9" w14:textId="77777777" w:rsidR="006C415B" w:rsidRPr="00C129F6" w:rsidRDefault="006C415B" w:rsidP="00AC1948">
            <w:r w:rsidRPr="00C129F6">
              <w:t>Top right of page, shown as a '</w:t>
            </w:r>
            <w:r w:rsidRPr="00C129F6">
              <w:rPr>
                <w:b/>
                <w:bCs/>
              </w:rPr>
              <w:t>bell</w:t>
            </w:r>
            <w:r w:rsidRPr="00C129F6">
              <w:t>' and ‘</w:t>
            </w:r>
            <w:r w:rsidRPr="00C129F6">
              <w:rPr>
                <w:b/>
                <w:bCs/>
              </w:rPr>
              <w:t>person</w:t>
            </w:r>
            <w:r w:rsidRPr="00C129F6">
              <w:t>’ icon respectively</w:t>
            </w:r>
          </w:p>
        </w:tc>
        <w:tc>
          <w:tcPr>
            <w:tcW w:w="1801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83F90F1" w14:textId="180F830B" w:rsidR="006C415B" w:rsidRPr="00C129F6" w:rsidRDefault="006C415B" w:rsidP="00AC1948">
            <w:r w:rsidRPr="00C129F6">
              <w:t>B or Insert+F5</w:t>
            </w:r>
            <w:r>
              <w:t xml:space="preserve"> to access Button List</w:t>
            </w:r>
          </w:p>
        </w:tc>
      </w:tr>
      <w:tr w:rsidR="006C415B" w:rsidRPr="00C129F6" w14:paraId="2500E0F5" w14:textId="77777777" w:rsidTr="14E2DC4F">
        <w:tc>
          <w:tcPr>
            <w:tcW w:w="2672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8996F8F" w14:textId="7E38611B" w:rsidR="006C415B" w:rsidRPr="00C129F6" w:rsidRDefault="006C415B" w:rsidP="00AC1948">
            <w:r w:rsidRPr="00C129F6">
              <w:rPr>
                <w:lang w:val="en-US"/>
              </w:rPr>
              <w:t>T</w:t>
            </w:r>
            <w:r>
              <w:rPr>
                <w:lang w:val="en-US"/>
              </w:rPr>
              <w:t>wo</w:t>
            </w:r>
            <w:r w:rsidRPr="00C129F6">
              <w:rPr>
                <w:lang w:val="en-US"/>
              </w:rPr>
              <w:t xml:space="preserve"> Navigation ‘</w:t>
            </w:r>
            <w:r w:rsidRPr="00C129F6">
              <w:rPr>
                <w:b/>
                <w:bCs/>
                <w:lang w:val="en-US"/>
              </w:rPr>
              <w:t>Tabs</w:t>
            </w:r>
            <w:r w:rsidRPr="00C129F6">
              <w:rPr>
                <w:lang w:val="en-US"/>
              </w:rPr>
              <w:t>’, for </w:t>
            </w:r>
            <w:r w:rsidRPr="00C129F6">
              <w:rPr>
                <w:b/>
                <w:bCs/>
                <w:lang w:val="en-US"/>
              </w:rPr>
              <w:t xml:space="preserve">Home, </w:t>
            </w:r>
            <w:r>
              <w:rPr>
                <w:b/>
                <w:bCs/>
                <w:lang w:val="en-US"/>
              </w:rPr>
              <w:t xml:space="preserve">and </w:t>
            </w:r>
            <w:r w:rsidRPr="00C129F6">
              <w:rPr>
                <w:b/>
                <w:bCs/>
                <w:lang w:val="en-US"/>
              </w:rPr>
              <w:t xml:space="preserve">My </w:t>
            </w:r>
            <w:r>
              <w:rPr>
                <w:b/>
                <w:bCs/>
                <w:lang w:val="en-US"/>
              </w:rPr>
              <w:t>Learning</w:t>
            </w:r>
          </w:p>
        </w:tc>
        <w:tc>
          <w:tcPr>
            <w:tcW w:w="467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4159A07C" w14:textId="77777777" w:rsidR="006C415B" w:rsidRPr="00C129F6" w:rsidRDefault="006C415B" w:rsidP="00AC1948">
            <w:r w:rsidRPr="00C129F6">
              <w:t>Near the top left of the page, below the Vision Australia Logo. Displayed as a blue horizontal bar, with each of the three tabs including an icon and text. </w:t>
            </w:r>
          </w:p>
          <w:p w14:paraId="266E7F3A" w14:textId="77777777" w:rsidR="006C415B" w:rsidRPr="00C129F6" w:rsidRDefault="006C415B" w:rsidP="00AC1948">
            <w:r w:rsidRPr="00C129F6">
              <w:t>The current selection is highlighted with a white ‘bar’ below the tab, overlapping the blue bar.</w:t>
            </w:r>
          </w:p>
        </w:tc>
        <w:tc>
          <w:tcPr>
            <w:tcW w:w="1801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7813A72A" w14:textId="77777777" w:rsidR="006C415B" w:rsidRPr="00C129F6" w:rsidRDefault="006C415B" w:rsidP="00AC1948">
            <w:r w:rsidRPr="00C129F6">
              <w:t>B or Insert+F5</w:t>
            </w:r>
          </w:p>
        </w:tc>
      </w:tr>
    </w:tbl>
    <w:p w14:paraId="7C2D5D34" w14:textId="77777777" w:rsidR="006C415B" w:rsidRDefault="006C415B" w:rsidP="006C415B"/>
    <w:p w14:paraId="76C6F7C6" w14:textId="77777777" w:rsidR="006C415B" w:rsidRPr="00C129F6" w:rsidRDefault="006C415B" w:rsidP="009113F9">
      <w:pPr>
        <w:pStyle w:val="Heading3"/>
      </w:pPr>
      <w:r w:rsidRPr="00C129F6">
        <w:t>Home Page ‘Panels’</w:t>
      </w:r>
    </w:p>
    <w:p w14:paraId="4A1C560C" w14:textId="460A9301" w:rsidR="006C415B" w:rsidRPr="00C129F6" w:rsidRDefault="006C415B" w:rsidP="006C415B">
      <w:r w:rsidRPr="00C129F6">
        <w:t xml:space="preserve">The 'Panels' on the Home Page provide quick access to key links and resources for </w:t>
      </w:r>
      <w:r>
        <w:t>the Learning Hub</w:t>
      </w:r>
      <w:r w:rsidRPr="00C129F6">
        <w:t>. </w:t>
      </w:r>
    </w:p>
    <w:p w14:paraId="3C1DF296" w14:textId="77777777" w:rsidR="006C415B" w:rsidRPr="00C129F6" w:rsidRDefault="006C415B" w:rsidP="006C415B"/>
    <w:tbl>
      <w:tblPr>
        <w:tblW w:w="9151" w:type="dxa"/>
        <w:shd w:val="clear" w:color="auto" w:fill="181A1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9"/>
        <w:gridCol w:w="4144"/>
        <w:gridCol w:w="2548"/>
      </w:tblGrid>
      <w:tr w:rsidR="009E255F" w:rsidRPr="00C129F6" w14:paraId="1C0DA82F" w14:textId="77777777" w:rsidTr="009E255F">
        <w:trPr>
          <w:tblHeader/>
        </w:trPr>
        <w:tc>
          <w:tcPr>
            <w:tcW w:w="2459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3F0315E" w14:textId="77777777" w:rsidR="006C415B" w:rsidRPr="00C129F6" w:rsidRDefault="006C415B" w:rsidP="00AC1948">
            <w:pPr>
              <w:rPr>
                <w:b/>
                <w:bCs/>
              </w:rPr>
            </w:pPr>
            <w:r w:rsidRPr="00C129F6">
              <w:rPr>
                <w:b/>
                <w:bCs/>
              </w:rPr>
              <w:t>Page Element Description</w:t>
            </w:r>
          </w:p>
        </w:tc>
        <w:tc>
          <w:tcPr>
            <w:tcW w:w="4144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0A2CAED" w14:textId="77777777" w:rsidR="006C415B" w:rsidRPr="00C129F6" w:rsidRDefault="006C415B" w:rsidP="00AC1948">
            <w:pPr>
              <w:rPr>
                <w:b/>
                <w:bCs/>
              </w:rPr>
            </w:pPr>
            <w:r w:rsidRPr="00C129F6">
              <w:rPr>
                <w:b/>
                <w:bCs/>
              </w:rPr>
              <w:t>Visual Description &amp; Location</w:t>
            </w:r>
          </w:p>
        </w:tc>
        <w:tc>
          <w:tcPr>
            <w:tcW w:w="254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D9D9D9" w:themeFill="background1" w:themeFillShade="D9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04FAF87" w14:textId="20F4C2DF" w:rsidR="006C415B" w:rsidRPr="00C129F6" w:rsidRDefault="006C415B" w:rsidP="00AC1948">
            <w:pPr>
              <w:rPr>
                <w:b/>
                <w:bCs/>
              </w:rPr>
            </w:pPr>
            <w:r>
              <w:rPr>
                <w:b/>
                <w:bCs/>
              </w:rPr>
              <w:t>Screen reader</w:t>
            </w:r>
            <w:r w:rsidRPr="00C129F6">
              <w:rPr>
                <w:b/>
                <w:bCs/>
              </w:rPr>
              <w:t xml:space="preserve"> Shortcut</w:t>
            </w:r>
          </w:p>
        </w:tc>
      </w:tr>
      <w:tr w:rsidR="009E255F" w:rsidRPr="00C129F6" w14:paraId="3E4D0DEF" w14:textId="77777777" w:rsidTr="009E255F">
        <w:tc>
          <w:tcPr>
            <w:tcW w:w="2459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52F9DA41" w14:textId="46266A0D" w:rsidR="006C415B" w:rsidRPr="00C129F6" w:rsidRDefault="006C415B" w:rsidP="00AC1948">
            <w:r>
              <w:rPr>
                <w:b/>
                <w:bCs/>
                <w:lang w:val="en-US"/>
              </w:rPr>
              <w:t>‘</w:t>
            </w:r>
            <w:r w:rsidRPr="00C129F6">
              <w:rPr>
                <w:b/>
                <w:bCs/>
                <w:lang w:val="en-US"/>
              </w:rPr>
              <w:t>Welcome</w:t>
            </w:r>
            <w:r>
              <w:rPr>
                <w:b/>
                <w:bCs/>
                <w:lang w:val="en-US"/>
              </w:rPr>
              <w:t>’</w:t>
            </w:r>
            <w:r w:rsidRPr="00C129F6">
              <w:rPr>
                <w:b/>
                <w:bCs/>
                <w:lang w:val="en-US"/>
              </w:rPr>
              <w:t xml:space="preserve"> Panel</w:t>
            </w:r>
            <w:r w:rsidR="009E255F">
              <w:rPr>
                <w:b/>
                <w:bCs/>
                <w:lang w:val="en-US"/>
              </w:rPr>
              <w:t>, including support resources and links</w:t>
            </w:r>
          </w:p>
        </w:tc>
        <w:tc>
          <w:tcPr>
            <w:tcW w:w="4144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121153D4" w14:textId="37269ED2" w:rsidR="006C415B" w:rsidRPr="00C129F6" w:rsidRDefault="006C415B" w:rsidP="00AC1948">
            <w:r w:rsidRPr="00C129F6">
              <w:t>This panel is located below the tab bar and spans the full</w:t>
            </w:r>
            <w:r w:rsidR="009E255F">
              <w:t xml:space="preserve"> </w:t>
            </w:r>
            <w:r w:rsidRPr="00C129F6">
              <w:t>width of the main region. </w:t>
            </w:r>
          </w:p>
        </w:tc>
        <w:tc>
          <w:tcPr>
            <w:tcW w:w="254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DC9A9AF" w14:textId="77777777" w:rsidR="006C415B" w:rsidRPr="00C129F6" w:rsidRDefault="006C415B" w:rsidP="00AC1948">
            <w:r w:rsidRPr="00C129F6">
              <w:t xml:space="preserve">H to navigate to the </w:t>
            </w:r>
            <w:r w:rsidRPr="009E255F">
              <w:rPr>
                <w:b/>
                <w:bCs/>
              </w:rPr>
              <w:t>Welcome</w:t>
            </w:r>
            <w:r w:rsidRPr="00C129F6">
              <w:t xml:space="preserve"> heading</w:t>
            </w:r>
          </w:p>
          <w:p w14:paraId="7C7F64DB" w14:textId="1EB66508" w:rsidR="006C415B" w:rsidRPr="00C129F6" w:rsidRDefault="006C415B" w:rsidP="00AC1948">
            <w:r w:rsidRPr="00C129F6">
              <w:t xml:space="preserve">Tab </w:t>
            </w:r>
          </w:p>
        </w:tc>
      </w:tr>
      <w:tr w:rsidR="009E255F" w:rsidRPr="00C129F6" w14:paraId="56FE79D1" w14:textId="77777777" w:rsidTr="009E255F">
        <w:tc>
          <w:tcPr>
            <w:tcW w:w="2459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2D1C64B7" w14:textId="44DBF42C" w:rsidR="006C415B" w:rsidRPr="00C129F6" w:rsidRDefault="006C415B" w:rsidP="00AC1948">
            <w:r>
              <w:rPr>
                <w:b/>
                <w:bCs/>
              </w:rPr>
              <w:t>‘Browse our resources’ Panel</w:t>
            </w:r>
            <w:r w:rsidRPr="00C129F6">
              <w:rPr>
                <w:b/>
                <w:bCs/>
              </w:rPr>
              <w:t>, showing recent enrolments and completions</w:t>
            </w:r>
          </w:p>
        </w:tc>
        <w:tc>
          <w:tcPr>
            <w:tcW w:w="4144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6342A7C5" w14:textId="6917CA9D" w:rsidR="009E255F" w:rsidRDefault="006C415B" w:rsidP="00AC1948">
            <w:r w:rsidRPr="00C129F6">
              <w:t xml:space="preserve">One of two panels that are located below the </w:t>
            </w:r>
            <w:r w:rsidR="009E255F">
              <w:t>‘Welcome’ panel.</w:t>
            </w:r>
            <w:r w:rsidRPr="00C129F6">
              <w:t xml:space="preserve"> </w:t>
            </w:r>
          </w:p>
          <w:p w14:paraId="3550809F" w14:textId="1589D1CF" w:rsidR="006C415B" w:rsidRDefault="009E255F" w:rsidP="00AC1948">
            <w:r>
              <w:t>On desktop, this will be aligned to the left of the page, whereas on mobile it will span the full width of the page, like the panel above.</w:t>
            </w:r>
          </w:p>
          <w:p w14:paraId="2999E459" w14:textId="473CBE86" w:rsidR="009E255F" w:rsidRPr="00C129F6" w:rsidRDefault="009E255F" w:rsidP="00AC1948">
            <w:r>
              <w:t>Use the link in this section to browse digital resources</w:t>
            </w:r>
          </w:p>
          <w:p w14:paraId="6C6319D1" w14:textId="145C65DD" w:rsidR="006C415B" w:rsidRPr="00C129F6" w:rsidRDefault="006C415B" w:rsidP="00AC1948"/>
        </w:tc>
        <w:tc>
          <w:tcPr>
            <w:tcW w:w="254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  <w:hideMark/>
          </w:tcPr>
          <w:p w14:paraId="30E260C3" w14:textId="3443D6AB" w:rsidR="006C415B" w:rsidRPr="00C129F6" w:rsidRDefault="006C415B" w:rsidP="00AC1948">
            <w:r w:rsidRPr="00C129F6">
              <w:t xml:space="preserve">H to navigate to the </w:t>
            </w:r>
            <w:r w:rsidR="009E255F">
              <w:t>‘</w:t>
            </w:r>
            <w:r w:rsidR="009E255F" w:rsidRPr="009E255F">
              <w:rPr>
                <w:b/>
                <w:bCs/>
              </w:rPr>
              <w:t>Browse our resources’</w:t>
            </w:r>
            <w:r w:rsidRPr="00C129F6">
              <w:t xml:space="preserve"> heading</w:t>
            </w:r>
          </w:p>
          <w:p w14:paraId="77A6D9CD" w14:textId="3BDF5D63" w:rsidR="006C415B" w:rsidRPr="00C129F6" w:rsidRDefault="006C415B" w:rsidP="00AC1948">
            <w:r w:rsidRPr="00C129F6">
              <w:t>Tab or Insert+F7 to navigate to the </w:t>
            </w:r>
            <w:r w:rsidR="009E255F">
              <w:t>‘</w:t>
            </w:r>
            <w:r w:rsidR="009E255F">
              <w:rPr>
                <w:b/>
                <w:bCs/>
              </w:rPr>
              <w:t>Access our digital resources’</w:t>
            </w:r>
            <w:r w:rsidRPr="00C129F6">
              <w:rPr>
                <w:b/>
                <w:bCs/>
              </w:rPr>
              <w:t> </w:t>
            </w:r>
            <w:r w:rsidRPr="00C129F6">
              <w:t>link</w:t>
            </w:r>
          </w:p>
        </w:tc>
      </w:tr>
      <w:tr w:rsidR="009E255F" w:rsidRPr="00C129F6" w14:paraId="3E45C9BB" w14:textId="77777777" w:rsidTr="009E255F">
        <w:tc>
          <w:tcPr>
            <w:tcW w:w="2459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72E652EC" w14:textId="31214055" w:rsidR="009E255F" w:rsidRPr="00C129F6" w:rsidRDefault="009E255F" w:rsidP="009E255F">
            <w:pPr>
              <w:rPr>
                <w:b/>
                <w:bCs/>
              </w:rPr>
            </w:pPr>
            <w:r>
              <w:rPr>
                <w:b/>
                <w:bCs/>
              </w:rPr>
              <w:t>‘Life Ready Program’ Panel</w:t>
            </w:r>
            <w:r w:rsidRPr="00C129F6">
              <w:rPr>
                <w:b/>
                <w:bCs/>
              </w:rPr>
              <w:t>, showing recent enrolments and completions</w:t>
            </w:r>
          </w:p>
        </w:tc>
        <w:tc>
          <w:tcPr>
            <w:tcW w:w="4144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2F2213E2" w14:textId="77777777" w:rsidR="009E255F" w:rsidRDefault="009E255F" w:rsidP="009E255F">
            <w:r w:rsidRPr="00C129F6">
              <w:t xml:space="preserve">One of two panels that are located below the </w:t>
            </w:r>
            <w:r>
              <w:t>‘Welcome’ panel.</w:t>
            </w:r>
            <w:r w:rsidRPr="00C129F6">
              <w:t xml:space="preserve"> </w:t>
            </w:r>
          </w:p>
          <w:p w14:paraId="496183AB" w14:textId="062F9B25" w:rsidR="009E255F" w:rsidRDefault="009E255F" w:rsidP="009E255F">
            <w:r>
              <w:t>On desktop, this will be aligned to the right of the page, whereas on mobile it will span the full width of the page, like the panel above.</w:t>
            </w:r>
          </w:p>
          <w:p w14:paraId="09080B78" w14:textId="23E509C0" w:rsidR="009E255F" w:rsidRPr="00C129F6" w:rsidRDefault="009E255F" w:rsidP="009E255F">
            <w:r>
              <w:t xml:space="preserve">Use the link in this section </w:t>
            </w:r>
            <w:r w:rsidR="00123CA7">
              <w:t>for further details on accessing the Life Ready Program content.</w:t>
            </w:r>
          </w:p>
        </w:tc>
        <w:tc>
          <w:tcPr>
            <w:tcW w:w="2548" w:type="dxa"/>
            <w:tcBorders>
              <w:top w:val="single" w:sz="6" w:space="0" w:color="807769"/>
              <w:left w:val="single" w:sz="6" w:space="0" w:color="807769"/>
              <w:bottom w:val="single" w:sz="6" w:space="0" w:color="807769"/>
              <w:right w:val="single" w:sz="6" w:space="0" w:color="807769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240" w:type="dxa"/>
            </w:tcMar>
            <w:vAlign w:val="center"/>
          </w:tcPr>
          <w:p w14:paraId="0482B4E6" w14:textId="77777777" w:rsidR="009E255F" w:rsidRPr="00C129F6" w:rsidRDefault="009E255F" w:rsidP="009E255F">
            <w:r w:rsidRPr="00C129F6">
              <w:t xml:space="preserve">H to navigate to the </w:t>
            </w:r>
            <w:r>
              <w:t>‘</w:t>
            </w:r>
            <w:r w:rsidRPr="009E255F">
              <w:rPr>
                <w:b/>
                <w:bCs/>
              </w:rPr>
              <w:t>Browse our resources’</w:t>
            </w:r>
            <w:r w:rsidRPr="00C129F6">
              <w:t xml:space="preserve"> heading</w:t>
            </w:r>
          </w:p>
          <w:p w14:paraId="14ACA515" w14:textId="25629481" w:rsidR="009E255F" w:rsidRPr="00C129F6" w:rsidRDefault="009E255F" w:rsidP="009E255F">
            <w:r w:rsidRPr="00C129F6">
              <w:t>Tab or Insert+F7 to navigate to the </w:t>
            </w:r>
            <w:r>
              <w:t>‘</w:t>
            </w:r>
            <w:r>
              <w:rPr>
                <w:b/>
                <w:bCs/>
              </w:rPr>
              <w:t>Access our digital resources’</w:t>
            </w:r>
            <w:r w:rsidRPr="00C129F6">
              <w:rPr>
                <w:b/>
                <w:bCs/>
              </w:rPr>
              <w:t> </w:t>
            </w:r>
            <w:r w:rsidRPr="00C129F6">
              <w:t>link</w:t>
            </w:r>
          </w:p>
        </w:tc>
      </w:tr>
    </w:tbl>
    <w:p w14:paraId="0869F786" w14:textId="77777777" w:rsidR="00123CA7" w:rsidRDefault="00123CA7" w:rsidP="606CAFE1">
      <w:pPr>
        <w:spacing w:line="259" w:lineRule="auto"/>
      </w:pPr>
    </w:p>
    <w:p w14:paraId="722B335B" w14:textId="77777777" w:rsidR="00123CA7" w:rsidRDefault="00123CA7" w:rsidP="606CAFE1">
      <w:pPr>
        <w:spacing w:line="259" w:lineRule="auto"/>
      </w:pPr>
    </w:p>
    <w:p w14:paraId="5E11459D" w14:textId="0D1D0A99" w:rsidR="00123CA7" w:rsidRPr="00FF63D5" w:rsidRDefault="00123CA7" w:rsidP="00123CA7">
      <w:pPr>
        <w:pStyle w:val="Heading2"/>
        <w:rPr>
          <w:rFonts w:cs="Arial"/>
          <w:color w:val="auto"/>
        </w:rPr>
      </w:pPr>
      <w:r w:rsidRPr="00FF63D5">
        <w:rPr>
          <w:rFonts w:cs="Arial"/>
          <w:color w:val="auto"/>
        </w:rPr>
        <w:t xml:space="preserve">Accessing </w:t>
      </w:r>
      <w:r>
        <w:rPr>
          <w:rFonts w:cs="Arial"/>
          <w:color w:val="auto"/>
        </w:rPr>
        <w:t xml:space="preserve">Current </w:t>
      </w:r>
      <w:r w:rsidRPr="00FF63D5">
        <w:rPr>
          <w:rFonts w:cs="Arial"/>
          <w:color w:val="auto"/>
        </w:rPr>
        <w:t>Courses</w:t>
      </w:r>
    </w:p>
    <w:p w14:paraId="54700000" w14:textId="1BAA8CF8" w:rsidR="00123CA7" w:rsidRDefault="00123CA7" w:rsidP="00123CA7">
      <w:pPr>
        <w:spacing w:after="240"/>
        <w:rPr>
          <w:rFonts w:cs="Arial"/>
        </w:rPr>
      </w:pPr>
      <w:r w:rsidRPr="00FF63D5">
        <w:rPr>
          <w:rFonts w:cs="Arial"/>
        </w:rPr>
        <w:t>The fastest way to access your current course enrolments is via the “</w:t>
      </w:r>
      <w:r>
        <w:rPr>
          <w:rFonts w:cs="Arial"/>
        </w:rPr>
        <w:t>My Learning</w:t>
      </w:r>
      <w:r w:rsidRPr="00FF63D5">
        <w:rPr>
          <w:rFonts w:cs="Arial"/>
        </w:rPr>
        <w:t xml:space="preserve">” </w:t>
      </w:r>
      <w:r>
        <w:rPr>
          <w:rFonts w:cs="Arial"/>
        </w:rPr>
        <w:t>tab at the top of the page</w:t>
      </w:r>
      <w:r w:rsidRPr="00FF63D5">
        <w:rPr>
          <w:rFonts w:cs="Arial"/>
        </w:rPr>
        <w:t xml:space="preserve">. This link takes you to the Courses section, where you can navigate a table of your current enrolments. </w:t>
      </w:r>
    </w:p>
    <w:p w14:paraId="57A879AA" w14:textId="7A7E2575" w:rsidR="00123CA7" w:rsidRPr="00FF63D5" w:rsidRDefault="00123CA7" w:rsidP="00123CA7">
      <w:pPr>
        <w:spacing w:after="240"/>
        <w:rPr>
          <w:rFonts w:cs="Arial"/>
        </w:rPr>
      </w:pPr>
      <w:r w:rsidRPr="00FF63D5">
        <w:rPr>
          <w:rFonts w:cs="Arial"/>
        </w:rPr>
        <w:t>You can also toggle to view completed courses.</w:t>
      </w:r>
    </w:p>
    <w:p w14:paraId="75506298" w14:textId="07604B35" w:rsidR="00123CA7" w:rsidRDefault="00123CA7" w:rsidP="00123CA7">
      <w:pPr>
        <w:spacing w:after="240"/>
        <w:rPr>
          <w:rFonts w:cs="Arial"/>
        </w:rPr>
      </w:pPr>
      <w:r w:rsidRPr="00FF63D5">
        <w:rPr>
          <w:rFonts w:cs="Arial"/>
        </w:rPr>
        <w:t>To open a course</w:t>
      </w:r>
      <w:r>
        <w:rPr>
          <w:rFonts w:cs="Arial"/>
        </w:rPr>
        <w:t>, s</w:t>
      </w:r>
      <w:r w:rsidRPr="00FF63D5">
        <w:rPr>
          <w:rFonts w:cs="Arial"/>
        </w:rPr>
        <w:t>elect the Course Name in the first column of the table.</w:t>
      </w:r>
      <w:r>
        <w:rPr>
          <w:rFonts w:cs="Arial"/>
        </w:rPr>
        <w:t xml:space="preserve"> For screen reader users,</w:t>
      </w:r>
      <w:r w:rsidRPr="00FF63D5">
        <w:rPr>
          <w:rFonts w:cs="Arial"/>
        </w:rPr>
        <w:t xml:space="preserve"> </w:t>
      </w:r>
      <w:r>
        <w:rPr>
          <w:rFonts w:cs="Arial"/>
        </w:rPr>
        <w:t>p</w:t>
      </w:r>
      <w:r w:rsidRPr="00FF63D5">
        <w:rPr>
          <w:rFonts w:cs="Arial"/>
        </w:rPr>
        <w:t xml:space="preserve">ress </w:t>
      </w:r>
      <w:r w:rsidRPr="00123CA7">
        <w:rPr>
          <w:rFonts w:cs="Arial"/>
          <w:b/>
          <w:bCs/>
        </w:rPr>
        <w:t>T</w:t>
      </w:r>
      <w:r w:rsidRPr="00FF63D5">
        <w:rPr>
          <w:rFonts w:cs="Arial"/>
        </w:rPr>
        <w:t xml:space="preserve"> to navigate to the table, then use </w:t>
      </w:r>
      <w:proofErr w:type="spellStart"/>
      <w:r w:rsidRPr="00FF63D5">
        <w:rPr>
          <w:rFonts w:cs="Arial"/>
        </w:rPr>
        <w:t>Control+Alt+Arrow</w:t>
      </w:r>
      <w:proofErr w:type="spellEnd"/>
      <w:r w:rsidRPr="00FF63D5">
        <w:rPr>
          <w:rFonts w:cs="Arial"/>
        </w:rPr>
        <w:t xml:space="preserve"> keys to move through cells.</w:t>
      </w:r>
    </w:p>
    <w:p w14:paraId="1C40EC1D" w14:textId="77777777" w:rsidR="00123CA7" w:rsidRPr="00FF63D5" w:rsidRDefault="00123CA7" w:rsidP="00123CA7">
      <w:pPr>
        <w:spacing w:after="240"/>
        <w:rPr>
          <w:rFonts w:cs="Arial"/>
        </w:rPr>
      </w:pPr>
    </w:p>
    <w:p w14:paraId="725D7065" w14:textId="0F8D4288" w:rsidR="00123CA7" w:rsidRPr="00FF63D5" w:rsidRDefault="00123CA7" w:rsidP="00123CA7">
      <w:pPr>
        <w:pStyle w:val="Heading2"/>
        <w:rPr>
          <w:rFonts w:cs="Arial"/>
          <w:color w:val="auto"/>
        </w:rPr>
      </w:pPr>
      <w:r>
        <w:rPr>
          <w:rFonts w:cs="Arial"/>
          <w:color w:val="auto"/>
        </w:rPr>
        <w:t xml:space="preserve">Searching and Enrolling in </w:t>
      </w:r>
      <w:r w:rsidRPr="00FF63D5">
        <w:rPr>
          <w:rFonts w:cs="Arial"/>
          <w:color w:val="auto"/>
        </w:rPr>
        <w:t>Courses</w:t>
      </w:r>
    </w:p>
    <w:p w14:paraId="04C1F483" w14:textId="77777777" w:rsidR="00123CA7" w:rsidRDefault="00123CA7" w:rsidP="606CAFE1">
      <w:pPr>
        <w:spacing w:line="259" w:lineRule="auto"/>
      </w:pPr>
      <w:r>
        <w:t xml:space="preserve">To search for courses, use the </w:t>
      </w:r>
      <w:r>
        <w:rPr>
          <w:b/>
          <w:bCs/>
        </w:rPr>
        <w:t xml:space="preserve">Catalogue </w:t>
      </w:r>
      <w:r>
        <w:t>link in the top right of the page (or from the ‘more’ option on mobile, then choosing Catalogue from the pop-up).</w:t>
      </w:r>
    </w:p>
    <w:p w14:paraId="30E5BCD3" w14:textId="77777777" w:rsidR="00123CA7" w:rsidRDefault="00123CA7" w:rsidP="606CAFE1">
      <w:pPr>
        <w:spacing w:line="259" w:lineRule="auto"/>
      </w:pPr>
      <w:r>
        <w:t>This opens the Catalogue of courses you currently have access to, as well as a search bar where you can search for content by keyword.</w:t>
      </w:r>
    </w:p>
    <w:p w14:paraId="7E069865" w14:textId="2054185B" w:rsidR="00123CA7" w:rsidRDefault="00123CA7" w:rsidP="606CAFE1">
      <w:pPr>
        <w:spacing w:line="259" w:lineRule="auto"/>
      </w:pPr>
      <w:r>
        <w:t xml:space="preserve">To enrol in a course, select it from the Catalogue page, then select the </w:t>
      </w:r>
      <w:r>
        <w:rPr>
          <w:b/>
          <w:bCs/>
        </w:rPr>
        <w:t xml:space="preserve">Enrol </w:t>
      </w:r>
      <w:r>
        <w:t>button, located below the course description. This will take a moment, then update to say ‘enrolled’. From here, you can scroll down to access the course content. You will also be able to access the course again from your ‘</w:t>
      </w:r>
      <w:r w:rsidRPr="00123CA7">
        <w:rPr>
          <w:b/>
          <w:bCs/>
        </w:rPr>
        <w:t>My Learning</w:t>
      </w:r>
      <w:r>
        <w:t xml:space="preserve">’ tab. </w:t>
      </w:r>
      <w:r>
        <w:br/>
      </w:r>
    </w:p>
    <w:p w14:paraId="1DFA02B6" w14:textId="6058F6AF" w:rsidR="00123CA7" w:rsidRDefault="00123CA7" w:rsidP="00123CA7">
      <w:pPr>
        <w:pStyle w:val="Heading2"/>
        <w:rPr>
          <w:lang w:val="en-US"/>
        </w:rPr>
      </w:pPr>
      <w:r w:rsidRPr="00123CA7">
        <w:rPr>
          <w:lang w:val="en-US"/>
        </w:rPr>
        <w:t>Screen Reader Shortcut</w:t>
      </w:r>
      <w:r>
        <w:rPr>
          <w:lang w:val="en-US"/>
        </w:rPr>
        <w:t>s – Quick Reference Table</w:t>
      </w:r>
      <w:r w:rsidRPr="00123CA7">
        <w:rPr>
          <w:lang w:val="en-US"/>
        </w:rPr>
        <w:t xml:space="preserve"> </w:t>
      </w:r>
    </w:p>
    <w:p w14:paraId="1EAA90F3" w14:textId="09803B44" w:rsidR="00123CA7" w:rsidRDefault="00123CA7" w:rsidP="00123CA7">
      <w:pPr>
        <w:rPr>
          <w:lang w:val="en-US"/>
        </w:rPr>
      </w:pPr>
      <w:r>
        <w:rPr>
          <w:lang w:val="en-US"/>
        </w:rPr>
        <w:t xml:space="preserve">The table below lists </w:t>
      </w:r>
      <w:r w:rsidR="009113F9">
        <w:rPr>
          <w:lang w:val="en-US"/>
        </w:rPr>
        <w:t xml:space="preserve">some navigation </w:t>
      </w:r>
      <w:r>
        <w:rPr>
          <w:lang w:val="en-US"/>
        </w:rPr>
        <w:t>actions and the</w:t>
      </w:r>
      <w:r w:rsidR="009113F9">
        <w:rPr>
          <w:lang w:val="en-US"/>
        </w:rPr>
        <w:t xml:space="preserve"> corresponding</w:t>
      </w:r>
      <w:r>
        <w:rPr>
          <w:lang w:val="en-US"/>
        </w:rPr>
        <w:t xml:space="preserve"> shortcut for</w:t>
      </w:r>
      <w:r w:rsidR="009113F9">
        <w:rPr>
          <w:lang w:val="en-US"/>
        </w:rPr>
        <w:t xml:space="preserve"> each of</w:t>
      </w:r>
      <w:r>
        <w:rPr>
          <w:lang w:val="en-US"/>
        </w:rPr>
        <w:t xml:space="preserve"> </w:t>
      </w:r>
      <w:r w:rsidR="009113F9">
        <w:rPr>
          <w:lang w:val="en-US"/>
        </w:rPr>
        <w:t xml:space="preserve">the commonly used screen readers, JAWS, NVDA and Narrator. </w:t>
      </w:r>
    </w:p>
    <w:p w14:paraId="360BDC7A" w14:textId="77777777" w:rsidR="00123CA7" w:rsidRPr="00123CA7" w:rsidRDefault="00123CA7" w:rsidP="00123CA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3"/>
        <w:gridCol w:w="2170"/>
        <w:gridCol w:w="2044"/>
        <w:gridCol w:w="1709"/>
      </w:tblGrid>
      <w:tr w:rsidR="00123CA7" w:rsidRPr="00123CA7" w14:paraId="7F668435" w14:textId="77777777" w:rsidTr="009113F9">
        <w:trPr>
          <w:tblHeader/>
        </w:trPr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46C115" w14:textId="77777777" w:rsidR="00123CA7" w:rsidRPr="00123CA7" w:rsidRDefault="00123CA7" w:rsidP="00123CA7">
            <w:pPr>
              <w:spacing w:line="259" w:lineRule="auto"/>
              <w:rPr>
                <w:b/>
                <w:bCs/>
                <w:sz w:val="28"/>
                <w:szCs w:val="28"/>
                <w:lang w:val="en-US"/>
              </w:rPr>
            </w:pPr>
            <w:bookmarkStart w:id="0" w:name="Title_3" w:colFirst="0" w:colLast="0"/>
            <w:r w:rsidRPr="00123CA7">
              <w:rPr>
                <w:b/>
                <w:bCs/>
                <w:sz w:val="28"/>
                <w:szCs w:val="28"/>
                <w:lang w:val="en-US"/>
              </w:rPr>
              <w:t>Action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6A089E" w14:textId="77777777" w:rsidR="00123CA7" w:rsidRPr="00123CA7" w:rsidRDefault="00123CA7" w:rsidP="00123CA7">
            <w:pPr>
              <w:spacing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123CA7">
              <w:rPr>
                <w:b/>
                <w:bCs/>
                <w:sz w:val="28"/>
                <w:szCs w:val="28"/>
                <w:lang w:val="en-US"/>
              </w:rPr>
              <w:t>JAWS Shortcut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D93B89" w14:textId="77777777" w:rsidR="00123CA7" w:rsidRPr="00123CA7" w:rsidRDefault="00123CA7" w:rsidP="00123CA7">
            <w:pPr>
              <w:spacing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123CA7">
              <w:rPr>
                <w:b/>
                <w:bCs/>
                <w:sz w:val="28"/>
                <w:szCs w:val="28"/>
                <w:lang w:val="en-US"/>
              </w:rPr>
              <w:t>NVDA Shortcut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CDE212" w14:textId="77777777" w:rsidR="00123CA7" w:rsidRPr="00123CA7" w:rsidRDefault="00123CA7" w:rsidP="00123CA7">
            <w:pPr>
              <w:spacing w:line="259" w:lineRule="auto"/>
              <w:rPr>
                <w:b/>
                <w:bCs/>
                <w:sz w:val="28"/>
                <w:szCs w:val="28"/>
                <w:lang w:val="en-US"/>
              </w:rPr>
            </w:pPr>
            <w:r w:rsidRPr="00123CA7">
              <w:rPr>
                <w:b/>
                <w:bCs/>
                <w:sz w:val="28"/>
                <w:szCs w:val="28"/>
                <w:lang w:val="en-US"/>
              </w:rPr>
              <w:t>Windows Narrator Shortcut</w:t>
            </w:r>
          </w:p>
        </w:tc>
      </w:tr>
      <w:bookmarkEnd w:id="0"/>
      <w:tr w:rsidR="00123CA7" w:rsidRPr="00123CA7" w14:paraId="78F2ABDF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E3E3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Move to Course Search Bar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2E0B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26C6" w14:textId="0CD8CF00" w:rsidR="00123CA7" w:rsidRPr="00123CA7" w:rsidRDefault="009113F9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9113F9">
              <w:rPr>
                <w:sz w:val="28"/>
                <w:szCs w:val="28"/>
                <w:lang w:val="en-US"/>
              </w:rPr>
              <w:t xml:space="preserve">F or </w:t>
            </w:r>
            <w:proofErr w:type="spellStart"/>
            <w:r w:rsidRPr="009113F9">
              <w:rPr>
                <w:sz w:val="28"/>
                <w:szCs w:val="28"/>
                <w:lang w:val="en-US"/>
              </w:rPr>
              <w:t>Shift+F</w:t>
            </w:r>
            <w:proofErr w:type="spellEnd"/>
            <w:r w:rsidRPr="009113F9">
              <w:rPr>
                <w:sz w:val="28"/>
                <w:szCs w:val="28"/>
                <w:lang w:val="en-US"/>
              </w:rPr>
              <w:t xml:space="preserve"> to cycle to next form element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5E69" w14:textId="5ABC4C82" w:rsidR="00123CA7" w:rsidRPr="00123CA7" w:rsidRDefault="009113F9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9113F9">
              <w:rPr>
                <w:sz w:val="28"/>
                <w:szCs w:val="28"/>
                <w:lang w:val="en-US"/>
              </w:rPr>
              <w:t xml:space="preserve">F or </w:t>
            </w:r>
            <w:proofErr w:type="spellStart"/>
            <w:r w:rsidRPr="009113F9">
              <w:rPr>
                <w:sz w:val="28"/>
                <w:szCs w:val="28"/>
                <w:lang w:val="en-US"/>
              </w:rPr>
              <w:t>Shift+F</w:t>
            </w:r>
            <w:proofErr w:type="spellEnd"/>
            <w:r w:rsidRPr="009113F9">
              <w:rPr>
                <w:sz w:val="28"/>
                <w:szCs w:val="28"/>
                <w:lang w:val="en-US"/>
              </w:rPr>
              <w:t xml:space="preserve"> to cycle to next form element</w:t>
            </w:r>
          </w:p>
        </w:tc>
      </w:tr>
      <w:tr w:rsidR="00123CA7" w:rsidRPr="00123CA7" w14:paraId="0ED32C9F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8007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Cycle through navigation links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4352" w14:textId="1AA4FACE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Tab</w:t>
            </w:r>
            <w:r w:rsidR="009113F9" w:rsidRPr="009113F9">
              <w:rPr>
                <w:sz w:val="28"/>
                <w:szCs w:val="28"/>
                <w:lang w:val="en-US"/>
              </w:rPr>
              <w:t xml:space="preserve"> and </w:t>
            </w:r>
            <w:r w:rsidRPr="00123CA7">
              <w:rPr>
                <w:sz w:val="28"/>
                <w:szCs w:val="28"/>
                <w:lang w:val="en-US"/>
              </w:rPr>
              <w:t>Insert+F7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BCC" w14:textId="51519B9C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Tab </w:t>
            </w:r>
            <w:r w:rsidR="009113F9" w:rsidRPr="009113F9">
              <w:rPr>
                <w:sz w:val="28"/>
                <w:szCs w:val="28"/>
                <w:lang w:val="en-US"/>
              </w:rPr>
              <w:t xml:space="preserve">and </w:t>
            </w:r>
            <w:r w:rsidRPr="00123CA7">
              <w:rPr>
                <w:sz w:val="28"/>
                <w:szCs w:val="28"/>
                <w:lang w:val="en-US"/>
              </w:rPr>
              <w:t>Insert+F7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4FE" w14:textId="6FDC6DCD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Tab </w:t>
            </w:r>
            <w:r w:rsidR="009113F9" w:rsidRPr="009113F9">
              <w:rPr>
                <w:sz w:val="28"/>
                <w:szCs w:val="28"/>
                <w:lang w:val="en-US"/>
              </w:rPr>
              <w:t xml:space="preserve">and </w:t>
            </w:r>
            <w:r w:rsidRPr="00123CA7">
              <w:rPr>
                <w:sz w:val="28"/>
                <w:szCs w:val="28"/>
                <w:lang w:val="en-US"/>
              </w:rPr>
              <w:t>Caps Lock+F7</w:t>
            </w:r>
          </w:p>
        </w:tc>
      </w:tr>
      <w:tr w:rsidR="00123CA7" w:rsidRPr="00123CA7" w14:paraId="4303ECEC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9A04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Jump to Notifications/Profile/Tabs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7C85" w14:textId="5A589D51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B </w:t>
            </w:r>
            <w:r w:rsidR="009113F9" w:rsidRPr="009113F9">
              <w:rPr>
                <w:sz w:val="28"/>
                <w:szCs w:val="28"/>
                <w:lang w:val="en-US"/>
              </w:rPr>
              <w:t>and</w:t>
            </w:r>
            <w:r w:rsidRPr="00123CA7">
              <w:rPr>
                <w:sz w:val="28"/>
                <w:szCs w:val="28"/>
                <w:lang w:val="en-US"/>
              </w:rPr>
              <w:t xml:space="preserve"> Insert+F5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D7D4" w14:textId="7F052C0D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B </w:t>
            </w:r>
            <w:r w:rsidR="009113F9" w:rsidRPr="009113F9">
              <w:rPr>
                <w:sz w:val="28"/>
                <w:szCs w:val="28"/>
                <w:lang w:val="en-US"/>
              </w:rPr>
              <w:t>and</w:t>
            </w:r>
            <w:r w:rsidRPr="00123CA7">
              <w:rPr>
                <w:sz w:val="28"/>
                <w:szCs w:val="28"/>
                <w:lang w:val="en-US"/>
              </w:rPr>
              <w:t xml:space="preserve"> Insert+F7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ADDD" w14:textId="46D8FA54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B (in scan mode) </w:t>
            </w:r>
            <w:r w:rsidR="009113F9" w:rsidRPr="009113F9">
              <w:rPr>
                <w:sz w:val="28"/>
                <w:szCs w:val="28"/>
                <w:lang w:val="en-US"/>
              </w:rPr>
              <w:t xml:space="preserve">and </w:t>
            </w:r>
            <w:r w:rsidRPr="00123CA7">
              <w:rPr>
                <w:sz w:val="28"/>
                <w:szCs w:val="28"/>
                <w:lang w:val="en-US"/>
              </w:rPr>
              <w:t>Caps Lock+F7</w:t>
            </w:r>
          </w:p>
        </w:tc>
      </w:tr>
      <w:tr w:rsidR="00123CA7" w:rsidRPr="00123CA7" w14:paraId="72ACB4A8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FA78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Move to headings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942D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603C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A820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H (in scan mode)</w:t>
            </w:r>
          </w:p>
        </w:tc>
      </w:tr>
      <w:tr w:rsidR="00123CA7" w:rsidRPr="00123CA7" w14:paraId="21756757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737C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Move to tables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FF5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A6A22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6535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T (in scan mode)</w:t>
            </w:r>
          </w:p>
        </w:tc>
      </w:tr>
      <w:tr w:rsidR="00123CA7" w:rsidRPr="00123CA7" w14:paraId="37EB1224" w14:textId="77777777" w:rsidTr="009113F9"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3A37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>Navigate within tables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2002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proofErr w:type="spellStart"/>
            <w:r w:rsidRPr="00123CA7">
              <w:rPr>
                <w:sz w:val="28"/>
                <w:szCs w:val="28"/>
                <w:lang w:val="en-US"/>
              </w:rPr>
              <w:t>Ctrl+Alt+Arrow</w:t>
            </w:r>
            <w:proofErr w:type="spellEnd"/>
            <w:r w:rsidRPr="00123CA7">
              <w:rPr>
                <w:sz w:val="28"/>
                <w:szCs w:val="28"/>
                <w:lang w:val="en-US"/>
              </w:rPr>
              <w:t xml:space="preserve"> keys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9FE8" w14:textId="77777777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proofErr w:type="spellStart"/>
            <w:r w:rsidRPr="00123CA7">
              <w:rPr>
                <w:sz w:val="28"/>
                <w:szCs w:val="28"/>
                <w:lang w:val="en-US"/>
              </w:rPr>
              <w:t>Ctrl+Alt+Arrow</w:t>
            </w:r>
            <w:proofErr w:type="spellEnd"/>
            <w:r w:rsidRPr="00123CA7">
              <w:rPr>
                <w:sz w:val="28"/>
                <w:szCs w:val="28"/>
                <w:lang w:val="en-US"/>
              </w:rPr>
              <w:t xml:space="preserve"> keys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3D14" w14:textId="15851681" w:rsidR="00123CA7" w:rsidRPr="00123CA7" w:rsidRDefault="00123CA7" w:rsidP="00123CA7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23CA7">
              <w:rPr>
                <w:sz w:val="28"/>
                <w:szCs w:val="28"/>
                <w:lang w:val="en-US"/>
              </w:rPr>
              <w:t xml:space="preserve">Caps </w:t>
            </w:r>
            <w:proofErr w:type="spellStart"/>
            <w:r w:rsidRPr="00123CA7">
              <w:rPr>
                <w:sz w:val="28"/>
                <w:szCs w:val="28"/>
                <w:lang w:val="en-US"/>
              </w:rPr>
              <w:t>Lock+Arrow</w:t>
            </w:r>
            <w:proofErr w:type="spellEnd"/>
            <w:r w:rsidRPr="00123CA7">
              <w:rPr>
                <w:sz w:val="28"/>
                <w:szCs w:val="28"/>
                <w:lang w:val="en-US"/>
              </w:rPr>
              <w:t xml:space="preserve"> keys)</w:t>
            </w:r>
          </w:p>
        </w:tc>
      </w:tr>
    </w:tbl>
    <w:p w14:paraId="3BEDA9AE" w14:textId="77777777" w:rsidR="00123CA7" w:rsidRPr="00123CA7" w:rsidRDefault="00123CA7" w:rsidP="606CAFE1">
      <w:pPr>
        <w:spacing w:line="259" w:lineRule="auto"/>
      </w:pPr>
    </w:p>
    <w:sectPr w:rsidR="00123CA7" w:rsidRPr="00123CA7" w:rsidSect="00123CA7">
      <w:headerReference w:type="default" r:id="rId12"/>
      <w:footerReference w:type="default" r:id="rId13"/>
      <w:pgSz w:w="11900" w:h="16840"/>
      <w:pgMar w:top="2552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49CB" w14:textId="77777777" w:rsidR="006449F6" w:rsidRDefault="006449F6" w:rsidP="0044444C">
      <w:r>
        <w:separator/>
      </w:r>
    </w:p>
  </w:endnote>
  <w:endnote w:type="continuationSeparator" w:id="0">
    <w:p w14:paraId="56648299" w14:textId="77777777" w:rsidR="006449F6" w:rsidRDefault="006449F6" w:rsidP="0044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78"/>
      <w:gridCol w:w="3079"/>
      <w:gridCol w:w="3079"/>
    </w:tblGrid>
    <w:tr w:rsidR="04DD9265" w14:paraId="13B07EDA" w14:textId="77777777" w:rsidTr="04DD9265">
      <w:trPr>
        <w:trHeight w:val="300"/>
      </w:trPr>
      <w:tc>
        <w:tcPr>
          <w:tcW w:w="3965" w:type="dxa"/>
        </w:tcPr>
        <w:p w14:paraId="2BC0F7B3" w14:textId="54C8FBD9" w:rsidR="04DD9265" w:rsidRDefault="04DD9265" w:rsidP="04DD9265">
          <w:pPr>
            <w:pStyle w:val="Header"/>
            <w:ind w:left="-115"/>
          </w:pPr>
        </w:p>
      </w:tc>
      <w:tc>
        <w:tcPr>
          <w:tcW w:w="3965" w:type="dxa"/>
        </w:tcPr>
        <w:p w14:paraId="7FC4C9E9" w14:textId="2FE5D720" w:rsidR="04DD9265" w:rsidRDefault="04DD9265" w:rsidP="04DD9265">
          <w:pPr>
            <w:pStyle w:val="Header"/>
            <w:jc w:val="center"/>
          </w:pPr>
        </w:p>
      </w:tc>
      <w:tc>
        <w:tcPr>
          <w:tcW w:w="3965" w:type="dxa"/>
        </w:tcPr>
        <w:p w14:paraId="6E9C9A2B" w14:textId="72182191" w:rsidR="04DD9265" w:rsidRDefault="04DD9265" w:rsidP="04DD9265">
          <w:pPr>
            <w:pStyle w:val="Header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5460" w14:textId="77777777" w:rsidR="006449F6" w:rsidRDefault="006449F6" w:rsidP="0044444C">
      <w:r>
        <w:separator/>
      </w:r>
    </w:p>
  </w:footnote>
  <w:footnote w:type="continuationSeparator" w:id="0">
    <w:p w14:paraId="6A0B46B0" w14:textId="77777777" w:rsidR="006449F6" w:rsidRDefault="006449F6" w:rsidP="00444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B897" w14:textId="44CD4635" w:rsidR="04DD9265" w:rsidRDefault="04DD9265" w:rsidP="04DD92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2BBCB8" wp14:editId="51BC42CB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543800" cy="1283025"/>
          <wp:effectExtent l="0" t="0" r="0" b="0"/>
          <wp:wrapNone/>
          <wp:docPr id="537149638" name="Picture 2" descr="Vision Australia logo and webiste visionaustral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28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9FD"/>
    <w:multiLevelType w:val="hybridMultilevel"/>
    <w:tmpl w:val="4EBA881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85F6BF3"/>
    <w:multiLevelType w:val="hybridMultilevel"/>
    <w:tmpl w:val="4E347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94D80"/>
    <w:multiLevelType w:val="hybridMultilevel"/>
    <w:tmpl w:val="B84CC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C46C9"/>
    <w:multiLevelType w:val="hybridMultilevel"/>
    <w:tmpl w:val="8572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73968">
    <w:abstractNumId w:val="3"/>
  </w:num>
  <w:num w:numId="2" w16cid:durableId="1737776167">
    <w:abstractNumId w:val="2"/>
  </w:num>
  <w:num w:numId="3" w16cid:durableId="1290210292">
    <w:abstractNumId w:val="0"/>
  </w:num>
  <w:num w:numId="4" w16cid:durableId="110330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gutterAtTop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60"/>
  <w:drawingGridVerticalSpacing w:val="435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F3F"/>
    <w:rsid w:val="00076BB6"/>
    <w:rsid w:val="00092E6C"/>
    <w:rsid w:val="00123CA7"/>
    <w:rsid w:val="001A3DA0"/>
    <w:rsid w:val="00235B2E"/>
    <w:rsid w:val="00270CB4"/>
    <w:rsid w:val="00317801"/>
    <w:rsid w:val="0044444C"/>
    <w:rsid w:val="00477B47"/>
    <w:rsid w:val="00510716"/>
    <w:rsid w:val="00627360"/>
    <w:rsid w:val="006419B6"/>
    <w:rsid w:val="006449F6"/>
    <w:rsid w:val="006C415B"/>
    <w:rsid w:val="00715275"/>
    <w:rsid w:val="007178DB"/>
    <w:rsid w:val="0074276D"/>
    <w:rsid w:val="007721B2"/>
    <w:rsid w:val="00806203"/>
    <w:rsid w:val="00837161"/>
    <w:rsid w:val="008C1F87"/>
    <w:rsid w:val="009113F9"/>
    <w:rsid w:val="00983E5E"/>
    <w:rsid w:val="009E255F"/>
    <w:rsid w:val="009E37F7"/>
    <w:rsid w:val="00A722EA"/>
    <w:rsid w:val="00A772B8"/>
    <w:rsid w:val="00A9209D"/>
    <w:rsid w:val="00AC1948"/>
    <w:rsid w:val="00BA4339"/>
    <w:rsid w:val="00C14F3F"/>
    <w:rsid w:val="00C46A4F"/>
    <w:rsid w:val="00C61734"/>
    <w:rsid w:val="00CD2657"/>
    <w:rsid w:val="00CD482F"/>
    <w:rsid w:val="00D6650E"/>
    <w:rsid w:val="00D675A0"/>
    <w:rsid w:val="00DC7693"/>
    <w:rsid w:val="00DF401A"/>
    <w:rsid w:val="00E32C4B"/>
    <w:rsid w:val="04DD9265"/>
    <w:rsid w:val="14E2DC4F"/>
    <w:rsid w:val="1587985B"/>
    <w:rsid w:val="1A440627"/>
    <w:rsid w:val="203F9A74"/>
    <w:rsid w:val="36C5B2CB"/>
    <w:rsid w:val="42C924A2"/>
    <w:rsid w:val="5183FB6C"/>
    <w:rsid w:val="52C28214"/>
    <w:rsid w:val="5FD3DF2A"/>
    <w:rsid w:val="606CAFE1"/>
    <w:rsid w:val="721AE8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6C24BF"/>
  <w15:docId w15:val="{4DF3C099-02B3-4971-B1BF-9EE9D039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VA Normal,Normal Text"/>
    <w:qFormat/>
    <w:rsid w:val="00270CB4"/>
    <w:rPr>
      <w:rFonts w:ascii="Arial" w:hAnsi="Arial"/>
      <w:sz w:val="32"/>
    </w:rPr>
  </w:style>
  <w:style w:type="paragraph" w:styleId="Heading1">
    <w:name w:val="heading 1"/>
    <w:aliases w:val="VA Header 1"/>
    <w:basedOn w:val="Normal"/>
    <w:next w:val="Normal"/>
    <w:link w:val="Heading1Char"/>
    <w:autoRedefine/>
    <w:uiPriority w:val="9"/>
    <w:qFormat/>
    <w:rsid w:val="00270CB4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 w:val="48"/>
      <w:szCs w:val="32"/>
    </w:rPr>
  </w:style>
  <w:style w:type="paragraph" w:styleId="Heading2">
    <w:name w:val="heading 2"/>
    <w:aliases w:val="VA Header 2"/>
    <w:basedOn w:val="Normal"/>
    <w:next w:val="Normal"/>
    <w:link w:val="Heading2Char"/>
    <w:uiPriority w:val="9"/>
    <w:unhideWhenUsed/>
    <w:qFormat/>
    <w:rsid w:val="00076BB6"/>
    <w:pPr>
      <w:keepNext/>
      <w:keepLines/>
      <w:spacing w:before="40"/>
      <w:outlineLvl w:val="1"/>
    </w:pPr>
    <w:rPr>
      <w:rFonts w:eastAsiaTheme="majorEastAsia" w:cstheme="majorBidi"/>
      <w:b/>
      <w:bCs/>
      <w:color w:val="000000" w:themeColor="text1"/>
      <w:sz w:val="44"/>
      <w:szCs w:val="26"/>
    </w:rPr>
  </w:style>
  <w:style w:type="paragraph" w:styleId="Heading3">
    <w:name w:val="heading 3"/>
    <w:aliases w:val="VA Header 3"/>
    <w:basedOn w:val="Normal"/>
    <w:next w:val="Normal"/>
    <w:link w:val="Heading3Char"/>
    <w:uiPriority w:val="9"/>
    <w:unhideWhenUsed/>
    <w:qFormat/>
    <w:rsid w:val="00076BB6"/>
    <w:pPr>
      <w:keepNext/>
      <w:keepLines/>
      <w:spacing w:before="40"/>
      <w:outlineLvl w:val="2"/>
    </w:pPr>
    <w:rPr>
      <w:rFonts w:eastAsiaTheme="majorEastAsia" w:cstheme="majorBidi"/>
      <w:b/>
      <w:bCs/>
      <w:color w:val="000000" w:themeColor="text1"/>
      <w:sz w:val="40"/>
    </w:rPr>
  </w:style>
  <w:style w:type="paragraph" w:styleId="Heading4">
    <w:name w:val="heading 4"/>
    <w:aliases w:val="VA Header 4"/>
    <w:basedOn w:val="Normal"/>
    <w:next w:val="Normal"/>
    <w:link w:val="Heading4Char"/>
    <w:uiPriority w:val="9"/>
    <w:unhideWhenUsed/>
    <w:qFormat/>
    <w:rsid w:val="00270CB4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4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44C"/>
  </w:style>
  <w:style w:type="paragraph" w:styleId="Footer">
    <w:name w:val="footer"/>
    <w:basedOn w:val="Normal"/>
    <w:link w:val="FooterChar"/>
    <w:uiPriority w:val="99"/>
    <w:unhideWhenUsed/>
    <w:rsid w:val="004444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44C"/>
  </w:style>
  <w:style w:type="paragraph" w:styleId="BalloonText">
    <w:name w:val="Balloon Text"/>
    <w:basedOn w:val="Normal"/>
    <w:link w:val="BalloonTextChar"/>
    <w:uiPriority w:val="99"/>
    <w:semiHidden/>
    <w:unhideWhenUsed/>
    <w:rsid w:val="004444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4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0CB4"/>
    <w:pPr>
      <w:ind w:left="720"/>
      <w:contextualSpacing/>
    </w:pPr>
  </w:style>
  <w:style w:type="character" w:customStyle="1" w:styleId="Heading1Char">
    <w:name w:val="Heading 1 Char"/>
    <w:aliases w:val="VA Header 1 Char"/>
    <w:basedOn w:val="DefaultParagraphFont"/>
    <w:link w:val="Heading1"/>
    <w:uiPriority w:val="9"/>
    <w:rsid w:val="00270CB4"/>
    <w:rPr>
      <w:rFonts w:ascii="Arial" w:eastAsiaTheme="majorEastAsia" w:hAnsi="Arial" w:cstheme="majorBidi"/>
      <w:b/>
      <w:bCs/>
      <w:color w:val="000000" w:themeColor="text1"/>
      <w:sz w:val="48"/>
      <w:szCs w:val="32"/>
    </w:rPr>
  </w:style>
  <w:style w:type="character" w:customStyle="1" w:styleId="Heading2Char">
    <w:name w:val="Heading 2 Char"/>
    <w:aliases w:val="VA Header 2 Char"/>
    <w:basedOn w:val="DefaultParagraphFont"/>
    <w:link w:val="Heading2"/>
    <w:uiPriority w:val="9"/>
    <w:rsid w:val="00076BB6"/>
    <w:rPr>
      <w:rFonts w:ascii="Arial" w:eastAsiaTheme="majorEastAsia" w:hAnsi="Arial" w:cstheme="majorBidi"/>
      <w:b/>
      <w:bCs/>
      <w:color w:val="000000" w:themeColor="text1"/>
      <w:sz w:val="44"/>
      <w:szCs w:val="26"/>
    </w:rPr>
  </w:style>
  <w:style w:type="character" w:customStyle="1" w:styleId="Heading3Char">
    <w:name w:val="Heading 3 Char"/>
    <w:aliases w:val="VA Header 3 Char"/>
    <w:basedOn w:val="DefaultParagraphFont"/>
    <w:link w:val="Heading3"/>
    <w:uiPriority w:val="9"/>
    <w:rsid w:val="00076BB6"/>
    <w:rPr>
      <w:rFonts w:ascii="Arial" w:eastAsiaTheme="majorEastAsia" w:hAnsi="Arial" w:cstheme="majorBidi"/>
      <w:b/>
      <w:bCs/>
      <w:color w:val="000000" w:themeColor="text1"/>
      <w:sz w:val="40"/>
    </w:rPr>
  </w:style>
  <w:style w:type="character" w:customStyle="1" w:styleId="Heading4Char">
    <w:name w:val="Heading 4 Char"/>
    <w:aliases w:val="VA Header 4 Char"/>
    <w:basedOn w:val="DefaultParagraphFont"/>
    <w:link w:val="Heading4"/>
    <w:uiPriority w:val="9"/>
    <w:rsid w:val="00270CB4"/>
    <w:rPr>
      <w:rFonts w:ascii="Arial" w:eastAsiaTheme="majorEastAsia" w:hAnsi="Arial" w:cstheme="majorBidi"/>
      <w:iCs/>
      <w:color w:val="000000" w:themeColor="text1"/>
      <w:sz w:val="3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4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arning@visionaustrali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nfieldGroupShare\MediaAndEvents\!!!Communications%20and%20Marketing\Brand\Brand%20strategy%202016\Collateral%20and%20stationary\Final%20creative\Accessible%20templates\Accessible%20A4%20In-Line%20Factsheet%20Child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15025E347C1498BF88DE59FCA06BE" ma:contentTypeVersion="15" ma:contentTypeDescription="Create a new document." ma:contentTypeScope="" ma:versionID="5eb301a75594b811b7ca4e2f153539e1">
  <xsd:schema xmlns:xsd="http://www.w3.org/2001/XMLSchema" xmlns:xs="http://www.w3.org/2001/XMLSchema" xmlns:p="http://schemas.microsoft.com/office/2006/metadata/properties" xmlns:ns2="9091c0e2-cfbe-482e-9f2d-24a4d4a13bf9" xmlns:ns3="9bbd0aeb-fa80-42f9-9562-8b6bf5fb8442" targetNamespace="http://schemas.microsoft.com/office/2006/metadata/properties" ma:root="true" ma:fieldsID="97a9a1f1bc2ba91bb4df5ce508728ebb" ns2:_="" ns3:_="">
    <xsd:import namespace="9091c0e2-cfbe-482e-9f2d-24a4d4a13bf9"/>
    <xsd:import namespace="9bbd0aeb-fa80-42f9-9562-8b6bf5fb8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1c0e2-cfbe-482e-9f2d-24a4d4a1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d0aeb-fa80-42f9-9562-8b6bf5fb84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8E1005-4523-4234-AC31-0906E40E9C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ED68D-BC17-4543-A56C-D8765F3F9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A42A3-20B9-447C-BF1E-D5BA8D19F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1c0e2-cfbe-482e-9f2d-24a4d4a13bf9"/>
    <ds:schemaRef ds:uri="9bbd0aeb-fa80-42f9-9562-8b6bf5fb8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79DA5-2057-488A-809E-955799FB03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Accessible%20A4%20In-Line%20Factsheet%20Child%20Version.dotx</Template>
  <TotalTime>0</TotalTime>
  <Pages>1</Pages>
  <Words>702</Words>
  <Characters>4003</Characters>
  <DocSecurity>4</DocSecurity>
  <Lines>33</Lines>
  <Paragraphs>9</Paragraphs>
  <ScaleCrop>false</ScaleCrop>
  <LinksUpToDate>false</LinksUpToDate>
  <CharactersWithSpaces>4696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2025-11-25T04:49:00Z</dcterms:created>
  <dcterms:modified xsi:type="dcterms:W3CDTF">2025-11-25T04:51:00Z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0x01010051E15025E347C1498BF88DE59FCA06BE</vt:lpwstr>
  </property>
  <property fmtid="{D5CDD505-2E9C-101B-9397-08002B2CF9AE}" pid="3" name="Order">
    <vt:r8>20200</vt:r8>
  </property>
</Properties>
</file>